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0EB2" w14:textId="50E7CC84" w:rsidR="00132A2C" w:rsidRDefault="00132A2C">
      <w:pPr>
        <w:pStyle w:val="Heading1"/>
      </w:pPr>
      <w:bookmarkStart w:id="0" w:name="X40771a481657be590b7728a936710aa71e8eda5"/>
      <w:r>
        <w:rPr>
          <w:noProof/>
        </w:rPr>
        <w:drawing>
          <wp:inline distT="0" distB="0" distL="0" distR="0" wp14:anchorId="679DBBC4" wp14:editId="52942C86">
            <wp:extent cx="4538694" cy="2441003"/>
            <wp:effectExtent l="0" t="0" r="0" b="0"/>
            <wp:docPr id="10880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6799" name="Picture 10880267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67062" cy="2456260"/>
                    </a:xfrm>
                    <a:prstGeom prst="rect">
                      <a:avLst/>
                    </a:prstGeom>
                  </pic:spPr>
                </pic:pic>
              </a:graphicData>
            </a:graphic>
          </wp:inline>
        </w:drawing>
      </w:r>
    </w:p>
    <w:p w14:paraId="23D2E1BC" w14:textId="4CBC8396" w:rsidR="00132A2C" w:rsidRPr="00132A2C" w:rsidRDefault="00132A2C" w:rsidP="00132A2C">
      <w:pPr>
        <w:pStyle w:val="BodyText"/>
        <w:numPr>
          <w:ilvl w:val="0"/>
          <w:numId w:val="6"/>
        </w:numPr>
        <w:rPr>
          <w:rFonts w:hint="eastAsia"/>
        </w:rPr>
      </w:pPr>
      <w:r>
        <w:rPr>
          <w:rFonts w:hint="eastAsia"/>
        </w:rPr>
        <w:t>背景介绍：我计划整合，人</w:t>
      </w:r>
      <w:r>
        <w:rPr>
          <w:rFonts w:hint="eastAsia"/>
        </w:rPr>
        <w:t>-</w:t>
      </w:r>
      <w:r>
        <w:rPr>
          <w:rFonts w:hint="eastAsia"/>
        </w:rPr>
        <w:t>人之间的社会互动强度，以及概念和概念之间的贡献强度。我是香港大学教育</w:t>
      </w:r>
      <w:r w:rsidR="002527E8">
        <w:rPr>
          <w:rFonts w:hint="eastAsia"/>
        </w:rPr>
        <w:t>技术</w:t>
      </w:r>
      <w:r>
        <w:rPr>
          <w:rFonts w:hint="eastAsia"/>
        </w:rPr>
        <w:t>胡冬品博士</w:t>
      </w:r>
      <w:r w:rsidR="002527E8">
        <w:rPr>
          <w:rFonts w:hint="eastAsia"/>
        </w:rPr>
        <w:t>，目前在从事人工智能和学习分析学的研究。</w:t>
      </w:r>
    </w:p>
    <w:p w14:paraId="09F6AF78" w14:textId="054B2723" w:rsidR="00132A2C" w:rsidRDefault="00132A2C">
      <w:pPr>
        <w:pStyle w:val="Heading1"/>
      </w:pPr>
      <w:r>
        <w:rPr>
          <w:noProof/>
        </w:rPr>
        <w:drawing>
          <wp:inline distT="0" distB="0" distL="0" distR="0" wp14:anchorId="2F292C8D" wp14:editId="67BCD715">
            <wp:extent cx="4185388" cy="4210429"/>
            <wp:effectExtent l="0" t="0" r="0" b="0"/>
            <wp:docPr id="31404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9742" name="Picture 3140497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3702" cy="4238913"/>
                    </a:xfrm>
                    <a:prstGeom prst="rect">
                      <a:avLst/>
                    </a:prstGeom>
                  </pic:spPr>
                </pic:pic>
              </a:graphicData>
            </a:graphic>
          </wp:inline>
        </w:drawing>
      </w:r>
    </w:p>
    <w:p w14:paraId="65BDFCC7" w14:textId="0EF06937" w:rsidR="00132A2C" w:rsidRPr="00132A2C" w:rsidRDefault="00132A2C" w:rsidP="00132A2C">
      <w:pPr>
        <w:pStyle w:val="BodyText"/>
        <w:numPr>
          <w:ilvl w:val="0"/>
          <w:numId w:val="6"/>
        </w:numPr>
        <w:rPr>
          <w:rFonts w:hint="eastAsia"/>
        </w:rPr>
      </w:pPr>
      <w:r>
        <w:rPr>
          <w:rFonts w:hint="eastAsia"/>
        </w:rPr>
        <w:t>这是</w:t>
      </w:r>
      <w:r w:rsidR="002527E8">
        <w:rPr>
          <w:rFonts w:hint="eastAsia"/>
        </w:rPr>
        <w:t>详细</w:t>
      </w:r>
      <w:r>
        <w:rPr>
          <w:rFonts w:hint="eastAsia"/>
        </w:rPr>
        <w:t>的公式。还请</w:t>
      </w:r>
      <w:r w:rsidR="002527E8">
        <w:rPr>
          <w:rFonts w:hint="eastAsia"/>
        </w:rPr>
        <w:t>宋</w:t>
      </w:r>
      <w:r>
        <w:rPr>
          <w:rFonts w:hint="eastAsia"/>
        </w:rPr>
        <w:t>博士</w:t>
      </w:r>
      <w:r w:rsidR="002527E8">
        <w:rPr>
          <w:rFonts w:hint="eastAsia"/>
        </w:rPr>
        <w:t>过目和指点。</w:t>
      </w:r>
    </w:p>
    <w:p w14:paraId="0B20AF25" w14:textId="5B9E5F61" w:rsidR="001A2697" w:rsidRPr="00132A2C" w:rsidRDefault="00000000" w:rsidP="00132A2C">
      <w:pPr>
        <w:pStyle w:val="Heading1"/>
        <w:jc w:val="center"/>
        <w:rPr>
          <w:b/>
          <w:bCs/>
        </w:rPr>
      </w:pPr>
      <w:r w:rsidRPr="00132A2C">
        <w:rPr>
          <w:b/>
          <w:bCs/>
        </w:rPr>
        <w:lastRenderedPageBreak/>
        <w:t>A Formal Analysis of the SENA Fusion Matrix:</w:t>
      </w:r>
    </w:p>
    <w:p w14:paraId="7FEBE804" w14:textId="77777777" w:rsidR="001A2697" w:rsidRPr="00132A2C" w:rsidRDefault="00000000" w:rsidP="00132A2C">
      <w:pPr>
        <w:pStyle w:val="Heading1"/>
        <w:jc w:val="center"/>
        <w:rPr>
          <w:b/>
          <w:bCs/>
        </w:rPr>
      </w:pPr>
      <w:bookmarkStart w:id="1" w:name="X29dae9e1d769cddf19711a97fe374d3bb4e1a00"/>
      <w:bookmarkEnd w:id="0"/>
      <w:r w:rsidRPr="00132A2C">
        <w:rPr>
          <w:b/>
          <w:bCs/>
        </w:rPr>
        <w:t>A Heterogeneous Typed Block-Adjacency Model for Social-Epistemic Network Analysis</w:t>
      </w:r>
    </w:p>
    <w:p w14:paraId="1830EFE5" w14:textId="77777777" w:rsidR="001A2697" w:rsidRDefault="00000000">
      <w:pPr>
        <w:pStyle w:val="FirstParagraph"/>
      </w:pPr>
      <w:r>
        <w:t>Draft mathematical note for the SENA project</w:t>
      </w:r>
    </w:p>
    <w:p w14:paraId="286FE335" w14:textId="77777777" w:rsidR="001A2697" w:rsidRDefault="00000000">
      <w:pPr>
        <w:pStyle w:val="BodyText"/>
      </w:pPr>
      <w:r>
        <w:t>June 8, 2026</w:t>
      </w:r>
    </w:p>
    <w:p w14:paraId="676C38E0" w14:textId="77777777" w:rsidR="001A2697" w:rsidRDefault="00000000">
      <w:pPr>
        <w:pStyle w:val="Heading2"/>
      </w:pPr>
      <w:bookmarkStart w:id="2" w:name="abstract"/>
      <w:r>
        <w:t>Abstract</w:t>
      </w:r>
    </w:p>
    <w:p w14:paraId="3DCED44C" w14:textId="77777777" w:rsidR="001A2697" w:rsidRDefault="00000000">
      <w:pPr>
        <w:pStyle w:val="FirstParagraph"/>
      </w:pPr>
      <w:r>
        <w:t>Social Network Analysis (SNA) represents relations among persons, while Epistemic Network Analysis (ENA) represents relations among coded epistemic elements. The proposed SENA fusion formula combines a person-person social matrix, a code-code epistemic co-occurrence matrix, and a person-code bridge matrix into one heterogeneous typed block-adjacency representation. This paper gives a formal mathematical analysis of that formula. We show that, under explicit dimensional, nonnegativity, symmetry, admissible-normalization, and typed-node assumptions, the SENA fusion matrix is a valid weighted typed adjacency matrix on a heterogeneous social-epistemic graph. We prove dimensional consistency, symmetry conditions, Laplacian positive semidefiniteness under a stated self-loop convention, coherent boundary cases, and the distinction between a joint adjacency model and an ENA projection. We also identify failure modes, attribution limits, centrality and layout interpretation rules, and statistical validation requirements. The main conclusion is that SENA should be interpreted not as a simple visual overlay of SNA and ENA, nor as a strict same-node multiplex network, but as a typed block-adjacency representation of a social-epistemic nexus. Its novelty is domain-specific formalization and validation, not the invention of block adjacency matrices themselves.</w:t>
      </w:r>
    </w:p>
    <w:p w14:paraId="42B3492B" w14:textId="77777777" w:rsidR="001A2697" w:rsidRDefault="00000000">
      <w:pPr>
        <w:pStyle w:val="BodyText"/>
      </w:pPr>
      <w:r>
        <w:rPr>
          <w:b/>
          <w:bCs/>
        </w:rPr>
        <w:t>Keywords:</w:t>
      </w:r>
      <w:r>
        <w:t xml:space="preserve"> social network analysis; epistemic network analysis; heterogeneous networks; typed graphs; block adjacency matrix; collaborative learning analytics; SENA.</w:t>
      </w:r>
    </w:p>
    <w:p w14:paraId="730ABD20" w14:textId="77777777" w:rsidR="001A2697" w:rsidRDefault="00000000">
      <w:pPr>
        <w:pStyle w:val="BodyText"/>
      </w:pPr>
      <w:r>
        <w:rPr>
          <w:b/>
          <w:bCs/>
        </w:rPr>
        <w:t>Mathematics Subject Classification:</w:t>
      </w:r>
      <w:r>
        <w:t xml:space="preserve"> 05C50, 05C82, 62H25, 91D30.</w:t>
      </w:r>
    </w:p>
    <w:p w14:paraId="7E0671E7" w14:textId="77777777" w:rsidR="001A2697" w:rsidRDefault="00000000">
      <w:pPr>
        <w:pStyle w:val="Heading2"/>
      </w:pPr>
      <w:bookmarkStart w:id="3" w:name="introduction"/>
      <w:bookmarkEnd w:id="2"/>
      <w:r>
        <w:t>Introduction</w:t>
      </w:r>
    </w:p>
    <w:p w14:paraId="584C9FBB" w14:textId="77777777" w:rsidR="001A2697" w:rsidRDefault="00000000">
      <w:pPr>
        <w:pStyle w:val="FirstParagraph"/>
      </w:pPr>
      <w:commentRangeStart w:id="4"/>
      <w:r>
        <w:t>Collaborative learning is simultaneously social and epistemic. Learners interact with particular people while producing, connecting, challenging, and refining particular ideas. SNA gives mature tools for person-person relations, such as degree, density, centrality, communities, and brokerage (Wasserman &amp; Faust, 1994). ENA gives a formal way to model co-occurrence relations among coded epistemic elements and to project units of analysis into a low-dimensional epistemic space (Shaffer et al., 2016; Bowman et al., 2021).</w:t>
      </w:r>
      <w:commentRangeEnd w:id="4"/>
      <w:r>
        <w:rPr>
          <w:rStyle w:val="CommentReference"/>
          <w:sz w:val="24"/>
          <w:szCs w:val="24"/>
        </w:rPr>
        <w:commentReference w:id="4"/>
      </w:r>
    </w:p>
    <w:p w14:paraId="0E98A9AB" w14:textId="77777777" w:rsidR="001A2697" w:rsidRDefault="00000000">
      <w:pPr>
        <w:pStyle w:val="BodyText"/>
      </w:pPr>
      <w:r>
        <w:t xml:space="preserve">The methodological gap is not that SNA and ENA cannot both be applied to the same data. Prior work such as SENS and iSENS already argues for combining social and epistemic </w:t>
      </w:r>
      <w:r>
        <w:lastRenderedPageBreak/>
        <w:t>perspectives (Gasevic et al., 2019; Swiecki &amp; Shaffer, 2020). The sharper mathematical question is whether one can construct a single object that contains person-person, code-code, and person-code relations while preserving their type distinctions and while remaining compatible with standard network analysis.</w:t>
      </w:r>
    </w:p>
    <w:p w14:paraId="11B1CBB5" w14:textId="77777777" w:rsidR="001A2697" w:rsidRDefault="00000000">
      <w:pPr>
        <w:pStyle w:val="BodyText"/>
      </w:pPr>
      <w:r>
        <w:t>The proposed SENA fusion formula is</w:t>
      </w:r>
    </w:p>
    <w:p w14:paraId="6CE09646"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acc>
                      <m:accPr>
                        <m:ctrlPr>
                          <w:rPr>
                            <w:rFonts w:ascii="Cambria Math" w:hAnsi="Cambria Math"/>
                          </w:rPr>
                        </m:ctrlPr>
                      </m:accPr>
                      <m:e>
                        <m:r>
                          <w:rPr>
                            <w:rFonts w:ascii="Cambria Math" w:hAnsi="Cambria Math"/>
                          </w:rPr>
                          <m:t>S</m:t>
                        </m:r>
                      </m:e>
                    </m:acc>
                  </m:e>
                  <m:e>
                    <m:r>
                      <w:rPr>
                        <w:rFonts w:ascii="Cambria Math" w:hAnsi="Cambria Math"/>
                      </w:rPr>
                      <m:t>γ</m:t>
                    </m:r>
                    <m:acc>
                      <m:accPr>
                        <m:ctrlPr>
                          <w:rPr>
                            <w:rFonts w:ascii="Cambria Math" w:hAnsi="Cambria Math"/>
                          </w:rPr>
                        </m:ctrlPr>
                      </m:accPr>
                      <m:e>
                        <m:r>
                          <w:rPr>
                            <w:rFonts w:ascii="Cambria Math" w:hAnsi="Cambria Math"/>
                          </w:rPr>
                          <m:t>B</m:t>
                        </m:r>
                      </m:e>
                    </m:acc>
                  </m:e>
                </m:mr>
                <m:mr>
                  <m:e>
                    <m:r>
                      <w:rPr>
                        <w:rFonts w:ascii="Cambria Math" w:hAnsi="Cambria Math"/>
                      </w:rPr>
                      <m:t>γ</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e>
                  <m:e>
                    <m:r>
                      <w:rPr>
                        <w:rFonts w:ascii="Cambria Math" w:hAnsi="Cambria Math"/>
                      </w:rPr>
                      <m:t>β</m:t>
                    </m:r>
                    <m:acc>
                      <m:accPr>
                        <m:ctrlPr>
                          <w:rPr>
                            <w:rFonts w:ascii="Cambria Math" w:hAnsi="Cambria Math"/>
                          </w:rPr>
                        </m:ctrlPr>
                      </m:accPr>
                      <m:e>
                        <m:r>
                          <w:rPr>
                            <w:rFonts w:ascii="Cambria Math" w:hAnsi="Cambria Math"/>
                          </w:rPr>
                          <m:t>W</m:t>
                        </m:r>
                      </m:e>
                    </m:acc>
                  </m:e>
                </m:mr>
              </m:m>
            </m:e>
          </m:d>
          <m:r>
            <m:rPr>
              <m:sty m:val="p"/>
            </m:rPr>
            <w:rPr>
              <w:rFonts w:ascii="Cambria Math" w:hAnsi="Cambria Math"/>
            </w:rPr>
            <m:t>,</m:t>
          </m:r>
        </m:oMath>
      </m:oMathPara>
    </w:p>
    <w:p w14:paraId="7EF1EC1E" w14:textId="77777777" w:rsidR="001A2697" w:rsidRDefault="00000000">
      <w:pPr>
        <w:pStyle w:val="FirstParagraph"/>
      </w:pPr>
      <w:r>
        <w:t xml:space="preserve">where </w:t>
      </w:r>
      <m:oMath>
        <m:acc>
          <m:accPr>
            <m:ctrlPr>
              <w:rPr>
                <w:rFonts w:ascii="Cambria Math" w:hAnsi="Cambria Math"/>
              </w:rPr>
            </m:ctrlPr>
          </m:accPr>
          <m:e>
            <m:r>
              <w:rPr>
                <w:rFonts w:ascii="Cambria Math" w:hAnsi="Cambria Math"/>
              </w:rPr>
              <m:t>S</m:t>
            </m:r>
          </m:e>
        </m:acc>
      </m:oMath>
      <w:r>
        <w:t xml:space="preserve"> is a normalized social matrix, </w:t>
      </w:r>
      <m:oMath>
        <m:acc>
          <m:accPr>
            <m:ctrlPr>
              <w:rPr>
                <w:rFonts w:ascii="Cambria Math" w:hAnsi="Cambria Math"/>
              </w:rPr>
            </m:ctrlPr>
          </m:accPr>
          <m:e>
            <m:r>
              <w:rPr>
                <w:rFonts w:ascii="Cambria Math" w:hAnsi="Cambria Math"/>
              </w:rPr>
              <m:t>W</m:t>
            </m:r>
          </m:e>
        </m:acc>
      </m:oMath>
      <w:r>
        <w:t xml:space="preserve"> is a normalized epistemic co-occurrence matrix, </w:t>
      </w:r>
      <m:oMath>
        <m:acc>
          <m:accPr>
            <m:ctrlPr>
              <w:rPr>
                <w:rFonts w:ascii="Cambria Math" w:hAnsi="Cambria Math"/>
              </w:rPr>
            </m:ctrlPr>
          </m:accPr>
          <m:e>
            <m:r>
              <w:rPr>
                <w:rFonts w:ascii="Cambria Math" w:hAnsi="Cambria Math"/>
              </w:rPr>
              <m:t>B</m:t>
            </m:r>
          </m:e>
        </m:acc>
      </m:oMath>
      <w:r>
        <w:t xml:space="preserve"> is a normalized person-code bridge matrix, and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 xml:space="preserve"> are layer weights.</w:t>
      </w:r>
    </w:p>
    <w:p w14:paraId="21FC424C" w14:textId="77777777" w:rsidR="001A2697" w:rsidRDefault="00000000">
      <w:pPr>
        <w:pStyle w:val="BodyText"/>
      </w:pPr>
      <w:r>
        <w:t>This paper analyzes the fusion matrix as a mathematical object. The central claim is:</w:t>
      </w:r>
    </w:p>
    <w:p w14:paraId="658819C6" w14:textId="77777777" w:rsidR="001A2697" w:rsidRDefault="00000000">
      <w:pPr>
        <w:pStyle w:val="BlockText"/>
      </w:pPr>
      <w:commentRangeStart w:id="5"/>
      <w:r>
        <w:t xml:space="preserve">The SENA formula is mathematically valid as a normalized weighted heterogeneous typed adjacency matrix on the typed node set </w:t>
      </w:r>
      <m:oMath>
        <m:r>
          <w:rPr>
            <w:rFonts w:ascii="Cambria Math" w:hAnsi="Cambria Math"/>
          </w:rPr>
          <m:t>P</m:t>
        </m:r>
        <m:r>
          <m:rPr>
            <m:sty m:val="p"/>
          </m:rPr>
          <w:rPr>
            <w:rFonts w:ascii="Cambria Math" w:hAnsi="Cambria Math"/>
          </w:rPr>
          <m:t>∪</m:t>
        </m:r>
        <m:r>
          <w:rPr>
            <w:rFonts w:ascii="Cambria Math" w:hAnsi="Cambria Math"/>
          </w:rPr>
          <m:t>C</m:t>
        </m:r>
      </m:oMath>
      <w:r>
        <w:t>, provided that the matrix construction, normalization, and interpretation conventions are explicitly declared. It is not, by itself, an ENA projection, a causal model, a positive semidefinite kernel, or an inferential test.</w:t>
      </w:r>
      <w:commentRangeEnd w:id="5"/>
      <w:r>
        <w:rPr>
          <w:rStyle w:val="CommentReference"/>
          <w:sz w:val="24"/>
          <w:szCs w:val="24"/>
        </w:rPr>
        <w:commentReference w:id="5"/>
      </w:r>
    </w:p>
    <w:p w14:paraId="3151BBAA" w14:textId="77777777" w:rsidR="001A2697" w:rsidRDefault="00000000">
      <w:pPr>
        <w:pStyle w:val="Heading2"/>
      </w:pPr>
      <w:bookmarkStart w:id="6" w:name="Xaf8d3948f29219abf46dff8050ab76e306d92db"/>
      <w:bookmarkEnd w:id="3"/>
      <w:r>
        <w:t>Related Mathematical and Methodological Context</w:t>
      </w:r>
    </w:p>
    <w:p w14:paraId="27993077" w14:textId="77777777" w:rsidR="001A2697" w:rsidRDefault="00000000">
      <w:pPr>
        <w:pStyle w:val="FirstParagraph"/>
      </w:pPr>
      <w:r>
        <w:t>The formula sits at the intersection of four established literatures. First, SNA supplies the person-person graph layer (Wasserman &amp; Faust, 1994). Second, ENA supplies the code-code co-occurrence logic and, separately, projection methods for units of analysis (Shaffer et al., 2016; Bowman et al., 2021). Third, multilayer network theory supplies block and supra-adjacency representations for systems with multiple layers or relation types (Mucha et al., 2010; Kivela et al., 2014). Fourth, heterogeneous information network theory supplies typed nodes and typed edges (Sun &amp; Han, 2012).</w:t>
      </w:r>
    </w:p>
    <w:p w14:paraId="3AE5188D" w14:textId="77777777" w:rsidR="001A2697" w:rsidRDefault="00000000">
      <w:pPr>
        <w:pStyle w:val="BodyText"/>
      </w:pPr>
      <w:r>
        <w:t xml:space="preserve">SENS and iSENS are the nearest learning-analytics precedents. They establish that SNA and ENA can provide complementary information about collaborative learning roles, discourse, group differences, and performance (Gasevic et al., 2019; Swiecki &amp; Shaffer, 2020). However, their main contribution is an integrated analytic strategy rather than the specific typed block object represented by the SENA fusion matrix. Conversely, multilayer and heterogeneous-network theory make this block construction mathematically unsurprising, but they do not supply the learning-analytics semantics of </w:t>
      </w:r>
      <m:oMath>
        <m:r>
          <w:rPr>
            <w:rFonts w:ascii="Cambria Math" w:hAnsi="Cambria Math"/>
          </w:rPr>
          <m:t>S</m:t>
        </m:r>
      </m:oMath>
      <w:r>
        <w:t xml:space="preserve">, </w:t>
      </w:r>
      <m:oMath>
        <m:r>
          <w:rPr>
            <w:rFonts w:ascii="Cambria Math" w:hAnsi="Cambria Math"/>
          </w:rPr>
          <m:t>W</m:t>
        </m:r>
      </m:oMath>
      <w:r>
        <w:t xml:space="preserve">, </w:t>
      </w:r>
      <m:oMath>
        <m:r>
          <w:rPr>
            <w:rFonts w:ascii="Cambria Math" w:hAnsi="Cambria Math"/>
          </w:rPr>
          <m:t>B</m:t>
        </m:r>
      </m:oMath>
      <w:r>
        <w:t xml:space="preserve">, and the person-code-pair attribution tensor </w:t>
      </w:r>
      <m:oMath>
        <m:r>
          <w:rPr>
            <w:rFonts w:ascii="Cambria Math" w:hAnsi="Cambria Math"/>
          </w:rPr>
          <m:t>G</m:t>
        </m:r>
      </m:oMath>
      <w:r>
        <w:t>.</w:t>
      </w:r>
    </w:p>
    <w:p w14:paraId="01EBB277" w14:textId="77777777" w:rsidR="001A2697" w:rsidRDefault="00000000">
      <w:pPr>
        <w:pStyle w:val="BodyText"/>
      </w:pPr>
      <w:commentRangeStart w:id="7"/>
      <w:commentRangeStart w:id="8"/>
      <w:r>
        <w:t>Consequently, a calibrated novelty claim is required. SENA does not invent block matrices, supra-adjacency notation, or multilayer graphs. Its contribution is the domain-specific formalization of a social-epistemic graph that keeps persons and epistemic codes as different node types while retaining social ties, epistemic co-occurrences, and person-code associations in one traceable model object. In this paper, “supra-adjacency” is used only in the broad block-representation sense, not as a claim that SENA is a strict multiplex network with the same entities replicated across layers.</w:t>
      </w:r>
      <w:commentRangeEnd w:id="8"/>
      <w:r>
        <w:rPr>
          <w:rStyle w:val="CommentReference"/>
          <w:sz w:val="24"/>
          <w:szCs w:val="24"/>
        </w:rPr>
        <w:commentReference w:id="8"/>
      </w:r>
      <w:commentRangeEnd w:id="7"/>
      <w:r>
        <w:rPr>
          <w:rStyle w:val="CommentReference"/>
          <w:sz w:val="24"/>
          <w:szCs w:val="24"/>
        </w:rPr>
        <w:commentReference w:id="7"/>
      </w:r>
    </w:p>
    <w:p w14:paraId="4A2A3F85" w14:textId="77777777" w:rsidR="001A2697" w:rsidRDefault="00000000">
      <w:pPr>
        <w:pStyle w:val="Heading2"/>
      </w:pPr>
      <w:bookmarkStart w:id="9" w:name="network-schema-and-notation"/>
      <w:bookmarkEnd w:id="6"/>
      <w:commentRangeStart w:id="10"/>
      <w:r>
        <w:lastRenderedPageBreak/>
        <w:t>Network Schema and Notation</w:t>
      </w:r>
    </w:p>
    <w:p w14:paraId="51D3A550" w14:textId="77777777" w:rsidR="001A2697" w:rsidRDefault="00000000">
      <w:pPr>
        <w:pStyle w:val="FirstParagraph"/>
      </w:pPr>
      <w:r>
        <w:t>Let</w:t>
      </w:r>
    </w:p>
    <w:p w14:paraId="3F79D04B" w14:textId="77777777" w:rsidR="001A2697" w:rsidRDefault="00000000">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  C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m:oMathPara>
    </w:p>
    <w:p w14:paraId="3F38AC1B" w14:textId="77777777" w:rsidR="001A2697" w:rsidRDefault="00000000">
      <w:pPr>
        <w:pStyle w:val="FirstParagraph"/>
      </w:pPr>
      <w:r>
        <w:t>denote the person set and the code set. The typed node set is</w:t>
      </w:r>
    </w:p>
    <w:p w14:paraId="7C2F5FFF" w14:textId="77777777" w:rsidR="001A2697" w:rsidRDefault="00000000">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4082B1D2" w14:textId="77777777" w:rsidR="001A2697" w:rsidRDefault="00000000">
      <w:pPr>
        <w:pStyle w:val="FirstParagraph"/>
      </w:pPr>
      <w:r>
        <w:t>Formally, SENA defines a weighted typed graph</w:t>
      </w:r>
    </w:p>
    <w:p w14:paraId="70ECAC9D" w14:textId="77777777" w:rsidR="001A2697" w:rsidRDefault="00000000">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w</m:t>
          </m:r>
          <m:r>
            <m:rPr>
              <m:sty m:val="p"/>
            </m:rPr>
            <w:rPr>
              <w:rFonts w:ascii="Cambria Math" w:hAnsi="Cambria Math"/>
            </w:rPr>
            <m:t>),</m:t>
          </m:r>
        </m:oMath>
      </m:oMathPara>
    </w:p>
    <w:p w14:paraId="42A6EF62" w14:textId="77777777" w:rsidR="001A2697" w:rsidRDefault="00000000">
      <w:pPr>
        <w:pStyle w:val="FirstParagraph"/>
      </w:pPr>
      <w:r>
        <w:t xml:space="preserve">where </w:t>
      </w:r>
      <m:oMath>
        <m:r>
          <w:rPr>
            <w:rFonts w:ascii="Cambria Math" w:hAnsi="Cambria Math"/>
          </w:rPr>
          <m:t>τ</m:t>
        </m:r>
        <m:r>
          <m:rPr>
            <m:sty m:val="p"/>
          </m:rPr>
          <w:rPr>
            <w:rFonts w:ascii="Cambria Math" w:hAnsi="Cambria Math"/>
          </w:rPr>
          <m:t>(</m:t>
        </m:r>
        <m:r>
          <w:rPr>
            <w:rFonts w:ascii="Cambria Math" w:hAnsi="Cambria Math"/>
          </w:rPr>
          <m:t>v</m:t>
        </m:r>
        <m:r>
          <m:rPr>
            <m:sty m:val="p"/>
          </m:rPr>
          <w:rPr>
            <w:rFonts w:ascii="Cambria Math" w:hAnsi="Cambria Math"/>
          </w:rPr>
          <m:t>)∈{person,code}</m:t>
        </m:r>
      </m:oMath>
      <w:r>
        <w:t xml:space="preserve"> is a node-type map, </w:t>
      </w:r>
      <m:oMath>
        <m:r>
          <w:rPr>
            <w:rFonts w:ascii="Cambria Math" w:hAnsi="Cambria Math"/>
          </w:rPr>
          <m:t>ρ</m:t>
        </m:r>
        <m:r>
          <m:rPr>
            <m:sty m:val="p"/>
          </m:rPr>
          <w:rPr>
            <w:rFonts w:ascii="Cambria Math" w:hAnsi="Cambria Math"/>
          </w:rPr>
          <m:t>(</m:t>
        </m:r>
        <m:r>
          <w:rPr>
            <w:rFonts w:ascii="Cambria Math" w:hAnsi="Cambria Math"/>
          </w:rPr>
          <m:t>e</m:t>
        </m:r>
        <m:r>
          <m:rPr>
            <m:sty m:val="p"/>
          </m:rPr>
          <w:rPr>
            <w:rFonts w:ascii="Cambria Math" w:hAnsi="Cambria Math"/>
          </w:rPr>
          <m:t>)∈{PP,CC,PC}</m:t>
        </m:r>
      </m:oMath>
      <w:r>
        <w:t xml:space="preserve"> is an edge-type map, and </w:t>
      </w: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Sub>
      </m:oMath>
      <w:r>
        <w:t xml:space="preserve"> is a nonnegative weight function. Person-person edges, code-code edges, and person-code edges have different empirical meanings and must not be interpreted as if all nodes and edges were semantically identical.</w:t>
      </w:r>
      <w:commentRangeEnd w:id="10"/>
      <w:r w:rsidR="002527E8">
        <w:rPr>
          <w:rStyle w:val="CommentReference"/>
          <w:sz w:val="24"/>
          <w:szCs w:val="24"/>
        </w:rPr>
        <w:commentReference w:id="10"/>
      </w:r>
    </w:p>
    <w:p w14:paraId="193A4F1B" w14:textId="77777777" w:rsidR="001A2697" w:rsidRDefault="00000000">
      <w:pPr>
        <w:pStyle w:val="Heading2"/>
      </w:pPr>
      <w:bookmarkStart w:id="11" w:name="X1ec849275203ce5b9ae7e9a6bede659039f027e"/>
      <w:bookmarkEnd w:id="9"/>
      <w:commentRangeStart w:id="12"/>
      <w:r>
        <w:t>Empirical Matrices and Admissible Normalization</w:t>
      </w:r>
      <w:commentRangeEnd w:id="12"/>
      <w:r w:rsidR="002527E8">
        <w:rPr>
          <w:rStyle w:val="CommentReference"/>
          <w:sz w:val="32"/>
          <w:szCs w:val="32"/>
        </w:rPr>
        <w:commentReference w:id="12"/>
      </w:r>
    </w:p>
    <w:p w14:paraId="6CF983BD" w14:textId="77777777" w:rsidR="001A2697" w:rsidRDefault="00000000">
      <w:pPr>
        <w:pStyle w:val="FirstParagraph"/>
      </w:pPr>
      <w:r>
        <w:rPr>
          <w:b/>
          <w:bCs/>
        </w:rPr>
        <w:t>Definition 1 (Social layer).</w:t>
      </w:r>
      <w:r>
        <w:t xml:space="preserve"> The social layer is a matrix</w:t>
      </w:r>
    </w:p>
    <w:p w14:paraId="3B3FEE0F" w14:textId="77777777" w:rsidR="001A2697" w:rsidRDefault="00000000">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n</m:t>
              </m:r>
            </m:sup>
          </m:sSubSup>
          <m:r>
            <m:rPr>
              <m:sty m:val="p"/>
            </m:rPr>
            <w:rPr>
              <w:rFonts w:ascii="Cambria Math" w:hAnsi="Cambria Math"/>
            </w:rPr>
            <m:t>,</m:t>
          </m:r>
        </m:oMath>
      </m:oMathPara>
    </w:p>
    <w:p w14:paraId="1E9C8DCB" w14:textId="77777777" w:rsidR="001A2697"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denotes the observed interaction strength from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to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In an undirected baseline model,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ji</m:t>
            </m:r>
          </m:sub>
        </m:sSub>
      </m:oMath>
      <w:r>
        <w:t>. Unless stated otherwise, diagonals are set to zero before graph analysis; if self-ties or frequencies are substantively meaningful, they should be reported as node attributes or under a declared self-loop convention.</w:t>
      </w:r>
    </w:p>
    <w:p w14:paraId="76F85E23" w14:textId="77777777" w:rsidR="001A2697" w:rsidRDefault="00000000">
      <w:pPr>
        <w:pStyle w:val="BodyText"/>
      </w:pPr>
      <w:r>
        <w:rPr>
          <w:b/>
          <w:bCs/>
        </w:rPr>
        <w:t>Definition 2 (Epistemic co-occurrence layer).</w:t>
      </w:r>
      <w:r>
        <w:t xml:space="preserve"> The epistemic layer is a matrix</w:t>
      </w:r>
    </w:p>
    <w:p w14:paraId="31406A2A" w14:textId="77777777" w:rsidR="001A2697" w:rsidRDefault="00000000">
      <w:pPr>
        <w:pStyle w:val="BodyText"/>
      </w:pPr>
      <m:oMathPara>
        <m:oMathParaPr>
          <m:jc m:val="center"/>
        </m:oMathParaPr>
        <m:oMath>
          <m:r>
            <w:rPr>
              <w:rFonts w:ascii="Cambria Math" w:hAnsi="Cambria Math"/>
            </w:rPr>
            <m:t>W</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m</m:t>
              </m:r>
            </m:sup>
          </m:sSubSup>
          <m:r>
            <m:rPr>
              <m:sty m:val="p"/>
            </m:rPr>
            <w:rPr>
              <w:rFonts w:ascii="Cambria Math" w:hAnsi="Cambria Math"/>
            </w:rPr>
            <m:t>,</m:t>
          </m:r>
        </m:oMath>
      </m:oMathPara>
    </w:p>
    <w:p w14:paraId="0F359411" w14:textId="77777777" w:rsidR="001A2697" w:rsidRDefault="00000000">
      <w:pPr>
        <w:pStyle w:val="FirstParagraph"/>
      </w:pPr>
      <w:commentRangeStart w:id="13"/>
      <w:r>
        <w:t xml:space="preserve">where </w:t>
      </w:r>
      <m:oMath>
        <m:sSub>
          <m:sSubPr>
            <m:ctrlPr>
              <w:rPr>
                <w:rFonts w:ascii="Cambria Math" w:hAnsi="Cambria Math"/>
              </w:rPr>
            </m:ctrlPr>
          </m:sSubPr>
          <m:e>
            <m:r>
              <w:rPr>
                <w:rFonts w:ascii="Cambria Math" w:hAnsi="Cambria Math"/>
              </w:rPr>
              <m:t>W</m:t>
            </m:r>
          </m:e>
          <m:sub>
            <m:r>
              <w:rPr>
                <w:rFonts w:ascii="Cambria Math" w:hAnsi="Cambria Math"/>
              </w:rPr>
              <m:t>ab</m:t>
            </m:r>
          </m:sub>
        </m:sSub>
      </m:oMath>
      <w:r>
        <w:t xml:space="preserve"> denotes the co-occurrence strength between codes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within a specified unit, stanza, or moving window. In the usual ENA-style co-occurrence construction, </w:t>
      </w:r>
      <m:oMath>
        <m:sSub>
          <m:sSubPr>
            <m:ctrlPr>
              <w:rPr>
                <w:rFonts w:ascii="Cambria Math" w:hAnsi="Cambria Math"/>
              </w:rPr>
            </m:ctrlPr>
          </m:sSubPr>
          <m:e>
            <m:r>
              <w:rPr>
                <w:rFonts w:ascii="Cambria Math" w:hAnsi="Cambria Math"/>
              </w:rPr>
              <m:t>W</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ba</m:t>
            </m:r>
          </m:sub>
        </m:sSub>
      </m:oMath>
      <w:r>
        <w:t xml:space="preserve">. Unless a study explicitly analyzes self-frequency as a loop, </w:t>
      </w:r>
      <m:oMath>
        <m:sSub>
          <m:sSubPr>
            <m:ctrlPr>
              <w:rPr>
                <w:rFonts w:ascii="Cambria Math" w:hAnsi="Cambria Math"/>
              </w:rPr>
            </m:ctrlPr>
          </m:sSubPr>
          <m:e>
            <m:r>
              <w:rPr>
                <w:rFonts w:ascii="Cambria Math" w:hAnsi="Cambria Math"/>
              </w:rPr>
              <m:t>W</m:t>
            </m:r>
          </m:e>
          <m:sub>
            <m:r>
              <w:rPr>
                <w:rFonts w:ascii="Cambria Math" w:hAnsi="Cambria Math"/>
              </w:rPr>
              <m:t>aa</m:t>
            </m:r>
          </m:sub>
        </m:sSub>
        <m:r>
          <m:rPr>
            <m:sty m:val="p"/>
          </m:rPr>
          <w:rPr>
            <w:rFonts w:ascii="Cambria Math" w:hAnsi="Cambria Math"/>
          </w:rPr>
          <m:t>=</m:t>
        </m:r>
        <m:r>
          <w:rPr>
            <w:rFonts w:ascii="Cambria Math" w:hAnsi="Cambria Math"/>
          </w:rPr>
          <m:t>0</m:t>
        </m:r>
      </m:oMath>
      <w:r>
        <w:t xml:space="preserve"> and code frequencies are reported separately as node attributes.</w:t>
      </w:r>
      <w:commentRangeEnd w:id="13"/>
      <w:r>
        <w:rPr>
          <w:rStyle w:val="CommentReference"/>
          <w:sz w:val="24"/>
          <w:szCs w:val="24"/>
        </w:rPr>
        <w:commentReference w:id="13"/>
      </w:r>
    </w:p>
    <w:p w14:paraId="157E1C9B" w14:textId="77777777" w:rsidR="001A2697" w:rsidRDefault="00000000">
      <w:pPr>
        <w:pStyle w:val="BodyText"/>
      </w:pPr>
      <w:r>
        <w:rPr>
          <w:b/>
          <w:bCs/>
        </w:rPr>
        <w:t>Definition 3 (Bridge layer).</w:t>
      </w:r>
      <w:r>
        <w:t xml:space="preserve"> The bridge layer is a matrix</w:t>
      </w:r>
    </w:p>
    <w:p w14:paraId="221C2447" w14:textId="77777777" w:rsidR="001A2697" w:rsidRDefault="00000000">
      <w:pPr>
        <w:pStyle w:val="BodyText"/>
      </w:pPr>
      <m:oMathPara>
        <m:oMathParaPr>
          <m:jc m:val="center"/>
        </m:oMathParaPr>
        <m:oMath>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m</m:t>
              </m:r>
            </m:sup>
          </m:sSubSup>
          <m:r>
            <m:rPr>
              <m:sty m:val="p"/>
            </m:rPr>
            <w:rPr>
              <w:rFonts w:ascii="Cambria Math" w:hAnsi="Cambria Math"/>
            </w:rPr>
            <m:t>,</m:t>
          </m:r>
        </m:oMath>
      </m:oMathPara>
    </w:p>
    <w:p w14:paraId="2CA87396" w14:textId="77777777" w:rsidR="001A2697" w:rsidRDefault="00000000">
      <w:pPr>
        <w:pStyle w:val="FirstParagraph"/>
      </w:pPr>
      <w:commentRangeStart w:id="14"/>
      <w:r>
        <w:t xml:space="preserve">where </w:t>
      </w:r>
      <m:oMath>
        <m:sSub>
          <m:sSubPr>
            <m:ctrlPr>
              <w:rPr>
                <w:rFonts w:ascii="Cambria Math" w:hAnsi="Cambria Math"/>
              </w:rPr>
            </m:ctrlPr>
          </m:sSubPr>
          <m:e>
            <m:r>
              <w:rPr>
                <w:rFonts w:ascii="Cambria Math" w:hAnsi="Cambria Math"/>
              </w:rPr>
              <m:t>B</m:t>
            </m:r>
          </m:e>
          <m:sub>
            <m:r>
              <w:rPr>
                <w:rFonts w:ascii="Cambria Math" w:hAnsi="Cambria Math"/>
              </w:rPr>
              <m:t>ia</m:t>
            </m:r>
          </m:sub>
        </m:sSub>
      </m:oMath>
      <w:r>
        <w:t xml:space="preserve"> denotes the association, exposure, use, or activation strength linking person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to code </w:t>
      </w:r>
      <m:oMath>
        <m:sSub>
          <m:sSubPr>
            <m:ctrlPr>
              <w:rPr>
                <w:rFonts w:ascii="Cambria Math" w:hAnsi="Cambria Math"/>
              </w:rPr>
            </m:ctrlPr>
          </m:sSubPr>
          <m:e>
            <m:r>
              <w:rPr>
                <w:rFonts w:ascii="Cambria Math" w:hAnsi="Cambria Math"/>
              </w:rPr>
              <m:t>c</m:t>
            </m:r>
          </m:e>
          <m:sub>
            <m:r>
              <w:rPr>
                <w:rFonts w:ascii="Cambria Math" w:hAnsi="Cambria Math"/>
              </w:rPr>
              <m:t>a</m:t>
            </m:r>
          </m:sub>
        </m:sSub>
      </m:oMath>
      <w:r>
        <w:t>. It should be interpreted as person-level contribution only when the data include person-specific coding evidence or an explicitly justified attribution rule.</w:t>
      </w:r>
      <w:commentRangeEnd w:id="14"/>
      <w:r>
        <w:rPr>
          <w:rStyle w:val="CommentReference"/>
          <w:sz w:val="24"/>
          <w:szCs w:val="24"/>
        </w:rPr>
        <w:commentReference w:id="14"/>
      </w:r>
    </w:p>
    <w:p w14:paraId="55671962" w14:textId="77777777" w:rsidR="001A2697" w:rsidRDefault="00000000">
      <w:pPr>
        <w:pStyle w:val="BodyText"/>
      </w:pPr>
      <w:commentRangeStart w:id="15"/>
      <w:r>
        <w:rPr>
          <w:b/>
          <w:bCs/>
        </w:rPr>
        <w:t>Definition 4 (Admissible layer normalization).</w:t>
      </w:r>
      <w:r>
        <w:t xml:space="preserve"> For each layer </w:t>
      </w:r>
      <m:oMath>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oMath>
      <w:r>
        <w:t>, an admissible normalization is a map</w:t>
      </w:r>
      <w:commentRangeEnd w:id="15"/>
      <w:r>
        <w:rPr>
          <w:rStyle w:val="CommentReference"/>
          <w:sz w:val="24"/>
          <w:szCs w:val="24"/>
        </w:rPr>
        <w:commentReference w:id="15"/>
      </w:r>
    </w:p>
    <w:p w14:paraId="6F45A0E9"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oMath>
      </m:oMathPara>
    </w:p>
    <w:p w14:paraId="5D3B0274" w14:textId="77777777" w:rsidR="001A2697" w:rsidRDefault="00000000">
      <w:pPr>
        <w:pStyle w:val="FirstParagraph"/>
      </w:pPr>
      <w:r>
        <w:t>with the following properties:</w:t>
      </w:r>
    </w:p>
    <w:p w14:paraId="3BDA0710" w14:textId="77777777" w:rsidR="001A2697" w:rsidRDefault="00000000">
      <w:pPr>
        <w:pStyle w:val="Compact"/>
        <w:numPr>
          <w:ilvl w:val="0"/>
          <w:numId w:val="2"/>
        </w:numPr>
      </w:pPr>
      <w:r>
        <w:t>it preserves dimensions;</w:t>
      </w:r>
    </w:p>
    <w:p w14:paraId="364DD25F" w14:textId="77777777" w:rsidR="001A2697" w:rsidRDefault="00000000">
      <w:pPr>
        <w:pStyle w:val="Compact"/>
        <w:numPr>
          <w:ilvl w:val="0"/>
          <w:numId w:val="2"/>
        </w:numPr>
      </w:pPr>
      <w:r>
        <w:t>it preserves nonnegativity;</w:t>
      </w:r>
    </w:p>
    <w:p w14:paraId="628C4D04" w14:textId="77777777" w:rsidR="001A2697" w:rsidRDefault="00000000">
      <w:pPr>
        <w:pStyle w:val="Compact"/>
        <w:numPr>
          <w:ilvl w:val="0"/>
          <w:numId w:val="2"/>
        </w:numPr>
      </w:pPr>
      <w:r>
        <w:t xml:space="preserve">for square symmetric layers </w:t>
      </w:r>
      <m:oMath>
        <m:r>
          <w:rPr>
            <w:rFonts w:ascii="Cambria Math" w:hAnsi="Cambria Math"/>
          </w:rPr>
          <m:t>S</m:t>
        </m:r>
      </m:oMath>
      <w:r>
        <w:t xml:space="preserve"> and </w:t>
      </w:r>
      <m:oMath>
        <m:r>
          <w:rPr>
            <w:rFonts w:ascii="Cambria Math" w:hAnsi="Cambria Math"/>
          </w:rPr>
          <m:t>W</m:t>
        </m:r>
      </m:oMath>
      <w:r>
        <w:t>, it preserves symmetry;</w:t>
      </w:r>
    </w:p>
    <w:p w14:paraId="3B738FBC" w14:textId="77777777" w:rsidR="001A2697" w:rsidRDefault="00000000">
      <w:pPr>
        <w:pStyle w:val="Compact"/>
        <w:numPr>
          <w:ilvl w:val="0"/>
          <w:numId w:val="2"/>
        </w:numPr>
      </w:pPr>
      <w:r>
        <w:t xml:space="preserve">it maps the zero matrix to the zero matrix, </w:t>
      </w: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5B5DEDBF" w14:textId="77777777" w:rsidR="001A2697" w:rsidRDefault="00000000">
      <w:pPr>
        <w:pStyle w:val="Compact"/>
        <w:numPr>
          <w:ilvl w:val="0"/>
          <w:numId w:val="2"/>
        </w:numPr>
      </w:pPr>
      <w:r>
        <w:t>for nonzero matrices, any divisor used in normalization is strictly positive.</w:t>
      </w:r>
    </w:p>
    <w:p w14:paraId="3D76990B" w14:textId="77777777" w:rsidR="001A2697" w:rsidRDefault="00000000">
      <w:pPr>
        <w:pStyle w:val="FirstParagraph"/>
      </w:pPr>
      <w:r>
        <w:t xml:space="preserve">Examples for nonzero </w:t>
      </w:r>
      <m:oMath>
        <m:r>
          <w:rPr>
            <w:rFonts w:ascii="Cambria Math" w:hAnsi="Cambria Math"/>
          </w:rPr>
          <m:t>M</m:t>
        </m:r>
      </m:oMath>
      <w:r>
        <w:t xml:space="preserve"> include</w:t>
      </w:r>
    </w:p>
    <w:p w14:paraId="09DA20FA" w14:textId="77777777" w:rsidR="001A2697" w:rsidRDefault="00000000">
      <w:pPr>
        <w:pStyle w:val="BodyText"/>
      </w:pPr>
      <m:oMathPara>
        <m:oMathParaPr>
          <m:jc m:val="center"/>
        </m:oMathParaPr>
        <m:oMath>
          <m:acc>
            <m:accPr>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w:rPr>
                  <w:rFonts w:ascii="Cambria Math" w:hAnsi="Cambria Math"/>
                </w:rPr>
                <m:t>M</m:t>
              </m:r>
            </m:num>
            <m:den>
              <m:limLow>
                <m:limLowPr>
                  <m:ctrlPr>
                    <w:rPr>
                      <w:rFonts w:ascii="Cambria Math" w:hAnsi="Cambria Math"/>
                    </w:rPr>
                  </m:ctrlPr>
                </m:limLowPr>
                <m:e>
                  <m:r>
                    <m:rPr>
                      <m:sty m:val="p"/>
                    </m:rPr>
                    <w:rPr>
                      <w:rFonts w:ascii="Cambria Math" w:hAnsi="Cambria Math"/>
                    </w:rPr>
                    <m:t>max</m:t>
                  </m:r>
                </m:e>
                <m:lim>
                  <m:r>
                    <w:rPr>
                      <w:rFonts w:ascii="Cambria Math" w:hAnsi="Cambria Math"/>
                    </w:rPr>
                    <m:t>uv</m:t>
                  </m:r>
                </m:lim>
              </m:limLow>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uv</m:t>
                  </m:r>
                </m:sub>
              </m:sSub>
              <m:r>
                <m:rPr>
                  <m:sty m:val="p"/>
                </m:rPr>
                <w:rPr>
                  <w:rFonts w:ascii="Cambria Math" w:hAnsi="Cambria Math"/>
                </w:rPr>
                <m:t>|</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num>
            <m:den>
              <m:limLow>
                <m:limLowPr>
                  <m:ctrlPr>
                    <w:rPr>
                      <w:rFonts w:ascii="Cambria Math" w:hAnsi="Cambria Math"/>
                    </w:rPr>
                  </m:ctrlPr>
                </m:limLowPr>
                <m:e>
                  <m:r>
                    <m:rPr>
                      <m:sty m:val="p"/>
                    </m:rPr>
                    <w:rPr>
                      <w:rFonts w:ascii="Cambria Math" w:hAnsi="Cambria Math"/>
                    </w:rPr>
                    <m:t>max</m:t>
                  </m:r>
                </m:e>
                <m:lim>
                  <m:r>
                    <w:rPr>
                      <w:rFonts w:ascii="Cambria Math" w:hAnsi="Cambria Math"/>
                    </w:rPr>
                    <m:t>uv</m:t>
                  </m:r>
                </m:lim>
              </m:limLow>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uv</m:t>
                  </m:r>
                </m:sub>
              </m:sSub>
              <m:r>
                <m:rPr>
                  <m:sty m:val="p"/>
                </m:rPr>
                <w:rPr>
                  <w:rFonts w:ascii="Cambria Math" w:hAnsi="Cambria Math"/>
                </w:rPr>
                <m:t>)</m:t>
              </m:r>
            </m:den>
          </m:f>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w:rPr>
                  <w:rFonts w:ascii="Cambria Math" w:hAnsi="Cambria Math"/>
                </w:rPr>
                <m:t>M</m:t>
              </m:r>
            </m:num>
            <m:den>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oMath>
      </m:oMathPara>
    </w:p>
    <w:p w14:paraId="102FD277" w14:textId="77777777" w:rsidR="001A2697" w:rsidRDefault="00000000">
      <w:pPr>
        <w:pStyle w:val="FirstParagraph"/>
      </w:pPr>
      <w:r>
        <w:t xml:space="preserve">The normalization rule is part of the model specification. It affects layer comparability, centrality, layout, and sensitivity to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w:t>
      </w:r>
    </w:p>
    <w:p w14:paraId="15A9E930" w14:textId="77777777" w:rsidR="001A2697" w:rsidRDefault="00000000">
      <w:pPr>
        <w:pStyle w:val="Heading2"/>
      </w:pPr>
      <w:bookmarkStart w:id="16" w:name="a-generative-construction"/>
      <w:bookmarkEnd w:id="11"/>
      <w:commentRangeStart w:id="17"/>
      <w:r>
        <w:t>A Generative Construction</w:t>
      </w:r>
      <w:commentRangeEnd w:id="17"/>
      <w:r w:rsidR="002527E8">
        <w:rPr>
          <w:rStyle w:val="CommentReference"/>
          <w:sz w:val="32"/>
          <w:szCs w:val="32"/>
        </w:rPr>
        <w:commentReference w:id="17"/>
      </w:r>
    </w:p>
    <w:p w14:paraId="326394A1" w14:textId="77777777" w:rsidR="001A2697" w:rsidRDefault="00000000">
      <w:pPr>
        <w:pStyle w:val="FirstParagraph"/>
      </w:pPr>
      <w:r>
        <w:t xml:space="preserve">Let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rPr>
          <m:t>}</m:t>
        </m:r>
      </m:oMath>
      <w:r>
        <w:t xml:space="preserve"> be a set of discourse windows. Let</w:t>
      </w:r>
    </w:p>
    <w:p w14:paraId="3149B530"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ta</m:t>
              </m:r>
            </m:sub>
          </m:sSub>
          <m:r>
            <m:rPr>
              <m:sty m:val="p"/>
            </m:rPr>
            <w:rPr>
              <w:rFonts w:ascii="Cambria Math" w:hAnsi="Cambria Math"/>
            </w:rPr>
            <m:t>=</m:t>
          </m:r>
          <m:r>
            <m:rPr>
              <m:nor/>
            </m:rPr>
            <m:t xml:space="preserve">activation strength of code </m:t>
          </m:r>
          <m:sSub>
            <m:sSubPr>
              <m:ctrlPr>
                <w:rPr>
                  <w:rFonts w:ascii="Cambria Math" w:hAnsi="Cambria Math"/>
                </w:rPr>
              </m:ctrlPr>
            </m:sSubPr>
            <m:e>
              <m:r>
                <w:rPr>
                  <w:rFonts w:ascii="Cambria Math" w:hAnsi="Cambria Math"/>
                </w:rPr>
                <m:t>c</m:t>
              </m:r>
            </m:e>
            <m:sub>
              <m:r>
                <w:rPr>
                  <w:rFonts w:ascii="Cambria Math" w:hAnsi="Cambria Math"/>
                </w:rPr>
                <m:t>a</m:t>
              </m:r>
            </m:sub>
          </m:sSub>
          <m:r>
            <m:rPr>
              <m:nor/>
            </m:rPr>
            <m:t xml:space="preserve"> in window </m:t>
          </m:r>
          <m:r>
            <w:rPr>
              <w:rFonts w:ascii="Cambria Math" w:hAnsi="Cambria Math"/>
            </w:rPr>
            <m:t>t</m:t>
          </m:r>
          <m:r>
            <m:rPr>
              <m:sty m:val="p"/>
            </m:rPr>
            <w:rPr>
              <w:rFonts w:ascii="Cambria Math" w:hAnsi="Cambria Math"/>
            </w:rPr>
            <m:t>,</m:t>
          </m:r>
        </m:oMath>
      </m:oMathPara>
    </w:p>
    <w:p w14:paraId="73B8BDF6" w14:textId="77777777" w:rsidR="001A2697"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m:rPr>
              <m:nor/>
            </m:rPr>
            <m:t xml:space="preserve">participation strength of person </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in window </m:t>
          </m:r>
          <m:r>
            <w:rPr>
              <w:rFonts w:ascii="Cambria Math" w:hAnsi="Cambria Math"/>
            </w:rPr>
            <m:t>t</m:t>
          </m:r>
          <m:r>
            <m:rPr>
              <m:sty m:val="p"/>
            </m:rPr>
            <w:rPr>
              <w:rFonts w:ascii="Cambria Math" w:hAnsi="Cambria Math"/>
            </w:rPr>
            <m:t>,</m:t>
          </m:r>
        </m:oMath>
      </m:oMathPara>
    </w:p>
    <w:p w14:paraId="115C8A2B" w14:textId="77777777" w:rsidR="001A2697" w:rsidRDefault="00000000">
      <w:pPr>
        <w:pStyle w:val="FirstParagraph"/>
      </w:pPr>
      <w:r>
        <w:t xml:space="preserve">and let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be the observed social interaction strength from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to </w:t>
      </w:r>
      <m:oMath>
        <m:sSub>
          <m:sSubPr>
            <m:ctrlPr>
              <w:rPr>
                <w:rFonts w:ascii="Cambria Math" w:hAnsi="Cambria Math"/>
              </w:rPr>
            </m:ctrlPr>
          </m:sSubPr>
          <m:e>
            <m:r>
              <w:rPr>
                <w:rFonts w:ascii="Cambria Math" w:hAnsi="Cambria Math"/>
              </w:rPr>
              <m:t>p</m:t>
            </m:r>
          </m:e>
          <m:sub>
            <m:r>
              <w:rPr>
                <w:rFonts w:ascii="Cambria Math" w:hAnsi="Cambria Math"/>
              </w:rPr>
              <m:t>j</m:t>
            </m:r>
          </m:sub>
        </m:sSub>
      </m:oMath>
      <w:r>
        <w:t>. A common SENA-compatible construction is</w:t>
      </w:r>
    </w:p>
    <w:p w14:paraId="262D5A95"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 </m:t>
          </m:r>
          <m:r>
            <m:rPr>
              <m:nor/>
            </m:rPr>
            <m:t>or</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ji</m:t>
              </m:r>
            </m:sub>
          </m:sSub>
          <m:r>
            <m:rPr>
              <m:sty m:val="p"/>
            </m:rPr>
            <w:rPr>
              <w:rFonts w:ascii="Cambria Math" w:hAnsi="Cambria Math"/>
            </w:rPr>
            <m:t>.</m:t>
          </m:r>
        </m:oMath>
      </m:oMathPara>
    </w:p>
    <w:p w14:paraId="34F8BA21" w14:textId="77777777" w:rsidR="001A2697" w:rsidRDefault="00000000">
      <w:pPr>
        <w:pStyle w:val="FirstParagraph"/>
      </w:pPr>
      <w:r>
        <w:t xml:space="preserve">For </w:t>
      </w:r>
      <m:oMath>
        <m:r>
          <w:rPr>
            <w:rFonts w:ascii="Cambria Math" w:hAnsi="Cambria Math"/>
          </w:rPr>
          <m:t>a</m:t>
        </m:r>
        <m:r>
          <m:rPr>
            <m:sty m:val="p"/>
          </m:rPr>
          <w:rPr>
            <w:rFonts w:ascii="Cambria Math" w:hAnsi="Cambria Math"/>
          </w:rPr>
          <m:t>≠</m:t>
        </m:r>
        <m:r>
          <w:rPr>
            <w:rFonts w:ascii="Cambria Math" w:hAnsi="Cambria Math"/>
          </w:rPr>
          <m:t>b</m:t>
        </m:r>
      </m:oMath>
      <w:r>
        <w:t>,</w:t>
      </w:r>
    </w:p>
    <w:p w14:paraId="45096013"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ab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X</m:t>
                  </m:r>
                </m:e>
                <m:sub>
                  <m:r>
                    <w:rPr>
                      <w:rFonts w:ascii="Cambria Math" w:hAnsi="Cambria Math"/>
                    </w:rPr>
                    <m:t>ta</m:t>
                  </m:r>
                </m:sub>
              </m:sSub>
            </m:e>
          </m:nary>
          <m:sSub>
            <m:sSubPr>
              <m:ctrlPr>
                <w:rPr>
                  <w:rFonts w:ascii="Cambria Math" w:hAnsi="Cambria Math"/>
                </w:rPr>
              </m:ctrlPr>
            </m:sSubPr>
            <m:e>
              <m:r>
                <w:rPr>
                  <w:rFonts w:ascii="Cambria Math" w:hAnsi="Cambria Math"/>
                </w:rPr>
                <m:t>X</m:t>
              </m:r>
            </m:e>
            <m:sub>
              <m:r>
                <w:rPr>
                  <w:rFonts w:ascii="Cambria Math" w:hAnsi="Cambria Math"/>
                </w:rPr>
                <m:t>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aa</m:t>
              </m:r>
            </m:sub>
          </m:sSub>
          <m:r>
            <m:rPr>
              <m:sty m:val="p"/>
            </m:rPr>
            <w:rPr>
              <w:rFonts w:ascii="Cambria Math" w:hAnsi="Cambria Math"/>
            </w:rPr>
            <m:t>=</m:t>
          </m:r>
          <m:r>
            <w:rPr>
              <w:rFonts w:ascii="Cambria Math" w:hAnsi="Cambria Math"/>
            </w:rPr>
            <m:t>0</m:t>
          </m:r>
        </m:oMath>
      </m:oMathPara>
    </w:p>
    <w:p w14:paraId="13B79BD0" w14:textId="77777777" w:rsidR="001A2697" w:rsidRDefault="00000000">
      <w:pPr>
        <w:pStyle w:val="FirstParagraph"/>
      </w:pPr>
      <w:r>
        <w:t>unless code frequencies are explicitly modeled as self-loops or node attributes. The bridge layer can be constructed as</w:t>
      </w:r>
    </w:p>
    <w:p w14:paraId="05E1250D"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Y</m:t>
                  </m:r>
                </m:e>
                <m:sub>
                  <m:r>
                    <w:rPr>
                      <w:rFonts w:ascii="Cambria Math" w:hAnsi="Cambria Math"/>
                    </w:rPr>
                    <m:t>it</m:t>
                  </m:r>
                </m:sub>
              </m:sSub>
            </m:e>
          </m:nary>
          <m:sSub>
            <m:sSubPr>
              <m:ctrlPr>
                <w:rPr>
                  <w:rFonts w:ascii="Cambria Math" w:hAnsi="Cambria Math"/>
                </w:rPr>
              </m:ctrlPr>
            </m:sSubPr>
            <m:e>
              <m:r>
                <w:rPr>
                  <w:rFonts w:ascii="Cambria Math" w:hAnsi="Cambria Math"/>
                </w:rPr>
                <m:t>X</m:t>
              </m:r>
            </m:e>
            <m:sub>
              <m:r>
                <w:rPr>
                  <w:rFonts w:ascii="Cambria Math" w:hAnsi="Cambria Math"/>
                </w:rPr>
                <m:t>ta</m:t>
              </m:r>
            </m:sub>
          </m:sSub>
          <m:r>
            <m:rPr>
              <m:sty m:val="p"/>
            </m:rPr>
            <w:rPr>
              <w:rFonts w:ascii="Cambria Math" w:hAnsi="Cambria Math"/>
            </w:rPr>
            <m:t>.</m:t>
          </m:r>
        </m:oMath>
      </m:oMathPara>
    </w:p>
    <w:p w14:paraId="295716D3" w14:textId="77777777" w:rsidR="001A2697" w:rsidRDefault="00000000">
      <w:pPr>
        <w:pStyle w:val="FirstParagraph"/>
      </w:pPr>
      <w:commentRangeStart w:id="18"/>
      <w:r>
        <w:t xml:space="preserve">The </w:t>
      </w:r>
      <m:oMath>
        <m:r>
          <w:rPr>
            <w:rFonts w:ascii="Cambria Math" w:hAnsi="Cambria Math"/>
          </w:rPr>
          <m:t>W</m:t>
        </m:r>
      </m:oMath>
      <w:r>
        <w:t xml:space="preserve"> equation is an ENA-style co-occurrence ingredient before unit-level normalization, rotation, or dimensional projection. It is not the full ENA modeling pipeline. The </w:t>
      </w:r>
      <m:oMath>
        <m:r>
          <w:rPr>
            <w:rFonts w:ascii="Cambria Math" w:hAnsi="Cambria Math"/>
          </w:rPr>
          <m:t>B</m:t>
        </m:r>
      </m:oMath>
      <w:r>
        <w:t xml:space="preserve"> equation is a participation-weighted person-code association object. It becomes an observed contribution object only when </w:t>
      </w:r>
      <m:oMath>
        <m:r>
          <w:rPr>
            <w:rFonts w:ascii="Cambria Math" w:hAnsi="Cambria Math"/>
          </w:rPr>
          <m:t>X</m:t>
        </m:r>
      </m:oMath>
      <w:r>
        <w:t xml:space="preserve"> is person-specific, for example </w:t>
      </w:r>
      <m:oMath>
        <m:sSub>
          <m:sSubPr>
            <m:ctrlPr>
              <w:rPr>
                <w:rFonts w:ascii="Cambria Math" w:hAnsi="Cambria Math"/>
              </w:rPr>
            </m:ctrlPr>
          </m:sSubPr>
          <m:e>
            <m:r>
              <w:rPr>
                <w:rFonts w:ascii="Cambria Math" w:hAnsi="Cambria Math"/>
              </w:rPr>
              <m:t>X</m:t>
            </m:r>
          </m:e>
          <m:sub>
            <m:r>
              <w:rPr>
                <w:rFonts w:ascii="Cambria Math" w:hAnsi="Cambria Math"/>
              </w:rPr>
              <m:t>ita</m:t>
            </m:r>
          </m:sub>
        </m:sSub>
      </m:oMath>
      <w:r>
        <w:t>, or when a separate attribution rule is justified.</w:t>
      </w:r>
      <w:commentRangeEnd w:id="18"/>
      <w:r>
        <w:rPr>
          <w:rStyle w:val="CommentReference"/>
          <w:sz w:val="24"/>
          <w:szCs w:val="24"/>
        </w:rPr>
        <w:commentReference w:id="18"/>
      </w:r>
    </w:p>
    <w:p w14:paraId="0D1371D9" w14:textId="77777777" w:rsidR="001A2697" w:rsidRDefault="00000000">
      <w:pPr>
        <w:pStyle w:val="Heading2"/>
      </w:pPr>
      <w:bookmarkStart w:id="19" w:name="assumptions"/>
      <w:bookmarkEnd w:id="16"/>
      <w:r>
        <w:lastRenderedPageBreak/>
        <w:t>Assumptions</w:t>
      </w:r>
    </w:p>
    <w:p w14:paraId="3E035977" w14:textId="77777777" w:rsidR="001A2697" w:rsidRDefault="00000000">
      <w:pPr>
        <w:pStyle w:val="FirstParagraph"/>
      </w:pPr>
      <w:r>
        <w:rPr>
          <w:b/>
          <w:bCs/>
        </w:rPr>
        <w:t>Assumption 1 (Dimensional compatibility).</w:t>
      </w:r>
      <w:r>
        <w:t xml:space="preserve"> </w:t>
      </w:r>
      <m:oMath>
        <m: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m</m:t>
            </m:r>
          </m:sup>
        </m:sSup>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t>.</w:t>
      </w:r>
    </w:p>
    <w:p w14:paraId="218BF696" w14:textId="77777777" w:rsidR="001A2697" w:rsidRDefault="00000000">
      <w:pPr>
        <w:pStyle w:val="BodyText"/>
      </w:pPr>
      <w:r>
        <w:rPr>
          <w:b/>
          <w:bCs/>
        </w:rPr>
        <w:t>Assumption 2 (Nonnegativity).</w:t>
      </w:r>
      <w:r>
        <w:t xml:space="preserve"> </w:t>
      </w:r>
      <m:oMath>
        <m:r>
          <w:rPr>
            <w:rFonts w:ascii="Cambria Math" w:hAnsi="Cambria Math"/>
          </w:rPr>
          <m:t>S</m:t>
        </m:r>
      </m:oMath>
      <w:r>
        <w:t xml:space="preserve">, </w:t>
      </w:r>
      <m:oMath>
        <m:r>
          <w:rPr>
            <w:rFonts w:ascii="Cambria Math" w:hAnsi="Cambria Math"/>
          </w:rPr>
          <m:t>W</m:t>
        </m:r>
      </m:oMath>
      <w:r>
        <w:t xml:space="preserve">, </w:t>
      </w:r>
      <m:oMath>
        <m:r>
          <w:rPr>
            <w:rFonts w:ascii="Cambria Math" w:hAnsi="Cambria Math"/>
          </w:rPr>
          <m:t>B</m:t>
        </m:r>
      </m:oMath>
      <w:r>
        <w:t xml:space="preserve"> have nonnegative entries and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oMath>
      <w:r>
        <w:t>.</w:t>
      </w:r>
    </w:p>
    <w:p w14:paraId="117F8F7E" w14:textId="77777777" w:rsidR="001A2697" w:rsidRDefault="00000000">
      <w:pPr>
        <w:pStyle w:val="BodyText"/>
      </w:pPr>
      <w:r>
        <w:rPr>
          <w:b/>
          <w:bCs/>
        </w:rPr>
        <w:t>Assumption 3 (Undirected baseline).</w:t>
      </w:r>
      <w:r>
        <w:t xml:space="preserve"> For the undirected SENA baseline,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and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w:t>
      </w:r>
    </w:p>
    <w:p w14:paraId="65B094AF" w14:textId="77777777" w:rsidR="001A2697" w:rsidRDefault="00000000">
      <w:pPr>
        <w:pStyle w:val="BodyText"/>
      </w:pPr>
      <w:r>
        <w:rPr>
          <w:b/>
          <w:bCs/>
        </w:rPr>
        <w:t>Assumption 4 (Admissible normalization).</w:t>
      </w:r>
      <w:r>
        <w:t xml:space="preserve"> The matrices entering the fusion matrix are obtained through admissible normalizations. In particular, </w:t>
      </w:r>
      <m:oMath>
        <m:acc>
          <m:accPr>
            <m:ctrlPr>
              <w:rPr>
                <w:rFonts w:ascii="Cambria Math" w:hAnsi="Cambria Math"/>
              </w:rPr>
            </m:ctrlPr>
          </m:accPr>
          <m:e>
            <m:r>
              <w:rPr>
                <w:rFonts w:ascii="Cambria Math" w:hAnsi="Cambria Math"/>
              </w:rPr>
              <m:t>S</m:t>
            </m:r>
          </m:e>
        </m:acc>
      </m:oMath>
      <w:r>
        <w:t xml:space="preserve"> and </w:t>
      </w:r>
      <m:oMath>
        <m:acc>
          <m:accPr>
            <m:ctrlPr>
              <w:rPr>
                <w:rFonts w:ascii="Cambria Math" w:hAnsi="Cambria Math"/>
              </w:rPr>
            </m:ctrlPr>
          </m:accPr>
          <m:e>
            <m:r>
              <w:rPr>
                <w:rFonts w:ascii="Cambria Math" w:hAnsi="Cambria Math"/>
              </w:rPr>
              <m:t>W</m:t>
            </m:r>
          </m:e>
        </m:acc>
      </m:oMath>
      <w:r>
        <w:t xml:space="preserve"> remain symmetric and nonnegative, and </w:t>
      </w:r>
      <m:oMath>
        <m:acc>
          <m:accPr>
            <m:ctrlPr>
              <w:rPr>
                <w:rFonts w:ascii="Cambria Math" w:hAnsi="Cambria Math"/>
              </w:rPr>
            </m:ctrlPr>
          </m:accPr>
          <m:e>
            <m:r>
              <w:rPr>
                <w:rFonts w:ascii="Cambria Math" w:hAnsi="Cambria Math"/>
              </w:rPr>
              <m:t>B</m:t>
            </m:r>
          </m:e>
        </m:acc>
      </m:oMath>
      <w:r>
        <w:t xml:space="preserve"> remains nonnegative with dimension </w:t>
      </w:r>
      <m:oMath>
        <m:r>
          <w:rPr>
            <w:rFonts w:ascii="Cambria Math" w:hAnsi="Cambria Math"/>
          </w:rPr>
          <m:t>n</m:t>
        </m:r>
        <m:r>
          <m:rPr>
            <m:sty m:val="p"/>
          </m:rPr>
          <w:rPr>
            <w:rFonts w:ascii="Cambria Math" w:hAnsi="Cambria Math"/>
          </w:rPr>
          <m:t>×</m:t>
        </m:r>
        <m:r>
          <w:rPr>
            <w:rFonts w:ascii="Cambria Math" w:hAnsi="Cambria Math"/>
          </w:rPr>
          <m:t>m</m:t>
        </m:r>
      </m:oMath>
      <w:r>
        <w:t>.</w:t>
      </w:r>
    </w:p>
    <w:p w14:paraId="4244FB74" w14:textId="77777777" w:rsidR="001A2697" w:rsidRDefault="00000000">
      <w:pPr>
        <w:pStyle w:val="BodyText"/>
      </w:pPr>
      <w:r>
        <w:rPr>
          <w:b/>
          <w:bCs/>
        </w:rPr>
        <w:t>Assumption 5 (Typed-node semantics).</w:t>
      </w:r>
      <w:r>
        <w:t xml:space="preserve"> The labels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belong to different node types. Distances, paths, centralities, and layouts computed from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must be interpreted with respect to this typed graph, not as if all nodes and edges were semantically identical.</w:t>
      </w:r>
    </w:p>
    <w:p w14:paraId="6B6F70F9" w14:textId="77777777" w:rsidR="001A2697" w:rsidRDefault="00000000">
      <w:pPr>
        <w:pStyle w:val="Heading2"/>
      </w:pPr>
      <w:bookmarkStart w:id="20" w:name="main-results"/>
      <w:bookmarkEnd w:id="19"/>
      <w:r>
        <w:t>Main Results</w:t>
      </w:r>
    </w:p>
    <w:p w14:paraId="2D4DE683" w14:textId="77777777" w:rsidR="001A2697" w:rsidRDefault="00000000">
      <w:pPr>
        <w:pStyle w:val="FirstParagraph"/>
      </w:pPr>
      <w:r>
        <w:rPr>
          <w:b/>
          <w:bCs/>
        </w:rPr>
        <w:t>Proposition 1 (Dimensional consistency).</w:t>
      </w:r>
      <w:r>
        <w:t xml:space="preserve"> Under Assumption 1, the matrix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is an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matrix.</w:t>
      </w:r>
    </w:p>
    <w:p w14:paraId="2090F234" w14:textId="77777777" w:rsidR="001A2697" w:rsidRDefault="00000000">
      <w:pPr>
        <w:pStyle w:val="BodyText"/>
      </w:pPr>
      <w:r>
        <w:rPr>
          <w:i/>
          <w:iCs/>
        </w:rPr>
        <w:t>Proof.</w:t>
      </w:r>
      <w:r>
        <w:t xml:space="preserve"> The upper-left block has </w:t>
      </w:r>
      <m:oMath>
        <m:r>
          <w:rPr>
            <w:rFonts w:ascii="Cambria Math" w:hAnsi="Cambria Math"/>
          </w:rPr>
          <m:t>n</m:t>
        </m:r>
      </m:oMath>
      <w:r>
        <w:t xml:space="preserve"> rows and </w:t>
      </w:r>
      <m:oMath>
        <m:r>
          <w:rPr>
            <w:rFonts w:ascii="Cambria Math" w:hAnsi="Cambria Math"/>
          </w:rPr>
          <m:t>n</m:t>
        </m:r>
      </m:oMath>
      <w:r>
        <w:t xml:space="preserve"> columns. The upper-right block has </w:t>
      </w:r>
      <m:oMath>
        <m:r>
          <w:rPr>
            <w:rFonts w:ascii="Cambria Math" w:hAnsi="Cambria Math"/>
          </w:rPr>
          <m:t>n</m:t>
        </m:r>
      </m:oMath>
      <w:r>
        <w:t xml:space="preserve"> rows and </w:t>
      </w:r>
      <m:oMath>
        <m:r>
          <w:rPr>
            <w:rFonts w:ascii="Cambria Math" w:hAnsi="Cambria Math"/>
          </w:rPr>
          <m:t>m</m:t>
        </m:r>
      </m:oMath>
      <w:r>
        <w:t xml:space="preserve"> columns. The lower-left block has </w:t>
      </w:r>
      <m:oMath>
        <m:r>
          <w:rPr>
            <w:rFonts w:ascii="Cambria Math" w:hAnsi="Cambria Math"/>
          </w:rPr>
          <m:t>m</m:t>
        </m:r>
      </m:oMath>
      <w:r>
        <w:t xml:space="preserve"> rows and </w:t>
      </w:r>
      <m:oMath>
        <m:r>
          <w:rPr>
            <w:rFonts w:ascii="Cambria Math" w:hAnsi="Cambria Math"/>
          </w:rPr>
          <m:t>n</m:t>
        </m:r>
      </m:oMath>
      <w:r>
        <w:t xml:space="preserve"> columns. The lower-right block has </w:t>
      </w:r>
      <m:oMath>
        <m:r>
          <w:rPr>
            <w:rFonts w:ascii="Cambria Math" w:hAnsi="Cambria Math"/>
          </w:rPr>
          <m:t>m</m:t>
        </m:r>
      </m:oMath>
      <w:r>
        <w:t xml:space="preserve"> rows and </w:t>
      </w:r>
      <m:oMath>
        <m:r>
          <w:rPr>
            <w:rFonts w:ascii="Cambria Math" w:hAnsi="Cambria Math"/>
          </w:rPr>
          <m:t>m</m:t>
        </m:r>
      </m:oMath>
      <w:r>
        <w:t xml:space="preserve"> columns. Therefore the block matrix has </w:t>
      </w:r>
      <m:oMath>
        <m:r>
          <w:rPr>
            <w:rFonts w:ascii="Cambria Math" w:hAnsi="Cambria Math"/>
          </w:rPr>
          <m:t>n</m:t>
        </m:r>
        <m:r>
          <m:rPr>
            <m:sty m:val="p"/>
          </m:rPr>
          <w:rPr>
            <w:rFonts w:ascii="Cambria Math" w:hAnsi="Cambria Math"/>
          </w:rPr>
          <m:t>+</m:t>
        </m:r>
        <m:r>
          <w:rPr>
            <w:rFonts w:ascii="Cambria Math" w:hAnsi="Cambria Math"/>
          </w:rPr>
          <m:t>m</m:t>
        </m:r>
      </m:oMath>
      <w:r>
        <w:t xml:space="preserve"> rows and </w:t>
      </w:r>
      <m:oMath>
        <m:r>
          <w:rPr>
            <w:rFonts w:ascii="Cambria Math" w:hAnsi="Cambria Math"/>
          </w:rPr>
          <m:t>n</m:t>
        </m:r>
        <m:r>
          <m:rPr>
            <m:sty m:val="p"/>
          </m:rPr>
          <w:rPr>
            <w:rFonts w:ascii="Cambria Math" w:hAnsi="Cambria Math"/>
          </w:rPr>
          <m:t>+</m:t>
        </m:r>
        <m:r>
          <w:rPr>
            <w:rFonts w:ascii="Cambria Math" w:hAnsi="Cambria Math"/>
          </w:rPr>
          <m:t>m</m:t>
        </m:r>
      </m:oMath>
      <w:r>
        <w:t xml:space="preserve"> columns. </w:t>
      </w:r>
      <m:oMath>
        <m:r>
          <m:rPr>
            <m:sty m:val="p"/>
          </m:rPr>
          <w:rPr>
            <w:rFonts w:ascii="Cambria Math" w:hAnsi="Cambria Math"/>
          </w:rPr>
          <m:t>▫</m:t>
        </m:r>
      </m:oMath>
    </w:p>
    <w:p w14:paraId="73A87AB9" w14:textId="77777777" w:rsidR="001A2697" w:rsidRDefault="00000000">
      <w:pPr>
        <w:pStyle w:val="BodyText"/>
      </w:pPr>
      <w:commentRangeStart w:id="21"/>
      <w:r>
        <w:rPr>
          <w:b/>
          <w:bCs/>
        </w:rPr>
        <w:t>Theorem 1 (Weighted undirected heterogeneous typed graph).</w:t>
      </w:r>
      <w:r>
        <w:t xml:space="preserve"> Under Assumptions 1-4,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is a symmetric nonnegative adjacency matrix on the typed node set </w:t>
      </w: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oMath>
      <w:r>
        <w:t>.</w:t>
      </w:r>
      <w:commentRangeEnd w:id="21"/>
      <w:r>
        <w:rPr>
          <w:rStyle w:val="CommentReference"/>
          <w:sz w:val="24"/>
          <w:szCs w:val="24"/>
        </w:rPr>
        <w:commentReference w:id="21"/>
      </w:r>
    </w:p>
    <w:p w14:paraId="2178F023" w14:textId="77777777" w:rsidR="001A2697" w:rsidRDefault="00000000">
      <w:pPr>
        <w:pStyle w:val="BodyText"/>
      </w:pPr>
      <w:commentRangeStart w:id="22"/>
      <w:r>
        <w:rPr>
          <w:i/>
          <w:iCs/>
        </w:rPr>
        <w:t>Proof.</w:t>
      </w:r>
      <w:r>
        <w:t xml:space="preserve"> Nonnegativity follows from nonnegative entries, nonnegative layer weights, and admissible normalizations that preserve nonnegativity. For symmetry,</w:t>
      </w:r>
    </w:p>
    <w:p w14:paraId="37A13BF7" w14:textId="77777777" w:rsidR="001A2697" w:rsidRDefault="00000000">
      <w:pPr>
        <w:pStyle w:val="BodyText"/>
      </w:pPr>
      <m:oMath>
        <m:sSubSup>
          <m:sSubSupPr>
            <m:ctrlPr>
              <w:rPr>
                <w:rFonts w:ascii="Cambria Math" w:hAnsi="Cambria Math"/>
              </w:rPr>
            </m:ctrlPr>
          </m:sSubSupPr>
          <m:e>
            <m:r>
              <w:rPr>
                <w:rFonts w:ascii="Cambria Math" w:hAnsi="Cambria Math"/>
              </w:rPr>
              <m:t>A</m:t>
            </m:r>
          </m:e>
          <m:sub>
            <m:r>
              <m:rPr>
                <m:sty m:val="p"/>
              </m:rPr>
              <w:rPr>
                <w:rFonts w:ascii="Cambria Math" w:hAnsi="Cambria Math"/>
              </w:rPr>
              <m:t>fusion</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S</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e>
                  <m:r>
                    <m:rPr>
                      <m:sty m:val="p"/>
                    </m:rPr>
                    <w:rPr>
                      <w:rFonts w:ascii="Cambria Math" w:hAnsi="Cambria Math"/>
                    </w:rPr>
                    <m:t>(</m:t>
                  </m:r>
                  <m:r>
                    <w:rPr>
                      <w:rFonts w:ascii="Cambria Math" w:hAnsi="Cambria Math"/>
                    </w:rPr>
                    <m:t>γ</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mr>
              <m:mr>
                <m:e>
                  <m:r>
                    <m:rPr>
                      <m:sty m:val="p"/>
                    </m:rPr>
                    <w:rPr>
                      <w:rFonts w:ascii="Cambria Math" w:hAnsi="Cambria Math"/>
                    </w:rPr>
                    <m:t>(</m:t>
                  </m:r>
                  <m:r>
                    <w:rPr>
                      <w:rFonts w:ascii="Cambria Math" w:hAnsi="Cambria Math"/>
                    </w:rPr>
                    <m:t>γ</m:t>
                  </m:r>
                  <m:acc>
                    <m:accPr>
                      <m:ctrlPr>
                        <w:rPr>
                          <w:rFonts w:ascii="Cambria Math" w:hAnsi="Cambria Math"/>
                        </w:rPr>
                      </m:ctrlPr>
                    </m:accPr>
                    <m:e>
                      <m:r>
                        <w:rPr>
                          <w:rFonts w:ascii="Cambria Math" w:hAnsi="Cambria Math"/>
                        </w:rPr>
                        <m:t>B</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e>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W</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acc>
                    <m:accPr>
                      <m:ctrlPr>
                        <w:rPr>
                          <w:rFonts w:ascii="Cambria Math" w:hAnsi="Cambria Math"/>
                        </w:rPr>
                      </m:ctrlPr>
                    </m:accPr>
                    <m:e>
                      <m:r>
                        <w:rPr>
                          <w:rFonts w:ascii="Cambria Math" w:hAnsi="Cambria Math"/>
                        </w:rPr>
                        <m:t>S</m:t>
                      </m:r>
                    </m:e>
                  </m:acc>
                </m:e>
                <m:e>
                  <m:r>
                    <w:rPr>
                      <w:rFonts w:ascii="Cambria Math" w:hAnsi="Cambria Math"/>
                    </w:rPr>
                    <m:t>γ</m:t>
                  </m:r>
                  <m:acc>
                    <m:accPr>
                      <m:ctrlPr>
                        <w:rPr>
                          <w:rFonts w:ascii="Cambria Math" w:hAnsi="Cambria Math"/>
                        </w:rPr>
                      </m:ctrlPr>
                    </m:accPr>
                    <m:e>
                      <m:r>
                        <w:rPr>
                          <w:rFonts w:ascii="Cambria Math" w:hAnsi="Cambria Math"/>
                        </w:rPr>
                        <m:t>B</m:t>
                      </m:r>
                    </m:e>
                  </m:acc>
                </m:e>
              </m:mr>
              <m:mr>
                <m:e>
                  <m:r>
                    <w:rPr>
                      <w:rFonts w:ascii="Cambria Math" w:hAnsi="Cambria Math"/>
                    </w:rPr>
                    <m:t>γ</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e>
                <m:e>
                  <m:r>
                    <w:rPr>
                      <w:rFonts w:ascii="Cambria Math" w:hAnsi="Cambria Math"/>
                    </w:rPr>
                    <m:t>β</m:t>
                  </m:r>
                  <m:acc>
                    <m:accPr>
                      <m:ctrlPr>
                        <w:rPr>
                          <w:rFonts w:ascii="Cambria Math" w:hAnsi="Cambria Math"/>
                        </w:rPr>
                      </m:ctrlPr>
                    </m:accPr>
                    <m:e>
                      <m:r>
                        <w:rPr>
                          <w:rFonts w:ascii="Cambria Math" w:hAnsi="Cambria Math"/>
                        </w:rPr>
                        <m:t>W</m:t>
                      </m:r>
                    </m:e>
                  </m:acc>
                </m:e>
              </m:mr>
            </m:m>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oMath>
      <w:commentRangeEnd w:id="22"/>
      <w:r w:rsidR="002527E8">
        <w:rPr>
          <w:rStyle w:val="CommentReference"/>
          <w:sz w:val="24"/>
          <w:szCs w:val="24"/>
        </w:rPr>
        <w:commentReference w:id="22"/>
      </w:r>
    </w:p>
    <w:p w14:paraId="3F8656FC" w14:textId="77777777" w:rsidR="001A2697" w:rsidRDefault="00000000">
      <w:pPr>
        <w:pStyle w:val="FirstParagraph"/>
      </w:pPr>
      <w:r>
        <w:t xml:space="preserve">because admissible normalization preserves </w:t>
      </w:r>
      <m:oMath>
        <m:acc>
          <m:accPr>
            <m:ctrlPr>
              <w:rPr>
                <w:rFonts w:ascii="Cambria Math" w:hAnsi="Cambria Math"/>
              </w:rPr>
            </m:ctrlPr>
          </m:accPr>
          <m:e>
            <m:r>
              <w:rPr>
                <w:rFonts w:ascii="Cambria Math" w:hAnsi="Cambria Math"/>
              </w:rPr>
              <m:t>S</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S</m:t>
                </m:r>
              </m:e>
            </m:acc>
          </m:e>
          <m:sup>
            <m:r>
              <m:rPr>
                <m:sty m:val="p"/>
              </m:rPr>
              <w:rPr>
                <w:rFonts w:ascii="Cambria Math" w:hAnsi="Cambria Math"/>
              </w:rPr>
              <m:t>⊤</m:t>
            </m:r>
          </m:sup>
        </m:sSup>
      </m:oMath>
      <w:r>
        <w:t xml:space="preserve"> and </w:t>
      </w:r>
      <m:oMath>
        <m:acc>
          <m:accPr>
            <m:ctrlPr>
              <w:rPr>
                <w:rFonts w:ascii="Cambria Math" w:hAnsi="Cambria Math"/>
              </w:rPr>
            </m:ctrlPr>
          </m:accPr>
          <m:e>
            <m:r>
              <w:rPr>
                <w:rFonts w:ascii="Cambria Math" w:hAnsi="Cambria Math"/>
              </w:rPr>
              <m:t>W</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W</m:t>
                </m:r>
              </m:e>
            </m:acc>
          </m:e>
          <m:sup>
            <m:r>
              <m:rPr>
                <m:sty m:val="p"/>
              </m:rPr>
              <w:rPr>
                <w:rFonts w:ascii="Cambria Math" w:hAnsi="Cambria Math"/>
              </w:rPr>
              <m:t>⊤</m:t>
            </m:r>
          </m:sup>
        </m:sSup>
      </m:oMath>
      <w:r>
        <w:t xml:space="preserve">. The block locations define three edge types: person-person, code-code, and person-code. Hence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is the adjacency matrix of a weighted undirected heterogeneous typed graph. </w:t>
      </w:r>
      <m:oMath>
        <m:r>
          <m:rPr>
            <m:sty m:val="p"/>
          </m:rPr>
          <w:rPr>
            <w:rFonts w:ascii="Cambria Math" w:hAnsi="Cambria Math"/>
          </w:rPr>
          <m:t>▫</m:t>
        </m:r>
      </m:oMath>
    </w:p>
    <w:p w14:paraId="1FC3DCBD" w14:textId="77777777" w:rsidR="001A2697" w:rsidRDefault="00000000">
      <w:pPr>
        <w:pStyle w:val="BodyText"/>
      </w:pPr>
      <w:commentRangeStart w:id="23"/>
      <w:r>
        <w:rPr>
          <w:b/>
          <w:bCs/>
        </w:rPr>
        <w:t>Corollary 1 (Laplacian positive semidefiniteness).</w:t>
      </w:r>
      <w:r>
        <w:t xml:space="preserve"> Let </w:t>
      </w:r>
      <m:oMath>
        <m:r>
          <w:rPr>
            <w:rFonts w:ascii="Cambria Math" w:hAnsi="Cambria Math"/>
          </w:rPr>
          <m:t>D</m:t>
        </m:r>
        <m:r>
          <m:rPr>
            <m:sty m:val="p"/>
          </m:rPr>
          <w:rPr>
            <w:rFonts w:ascii="Cambria Math" w:hAnsi="Cambria Math"/>
          </w:rPr>
          <m:t>=diag(</m:t>
        </m:r>
        <m:sSub>
          <m:sSubPr>
            <m:ctrlPr>
              <w:rPr>
                <w:rFonts w:ascii="Cambria Math" w:hAnsi="Cambria Math"/>
              </w:rPr>
            </m:ctrlPr>
          </m:sSubPr>
          <m:e>
            <m:r>
              <w:rPr>
                <w:rFonts w:ascii="Cambria Math" w:hAnsi="Cambria Math"/>
              </w:rPr>
              <m:t>d</m:t>
            </m:r>
          </m:e>
          <m:sub>
            <m:r>
              <w:rPr>
                <w:rFonts w:ascii="Cambria Math" w:hAnsi="Cambria Math"/>
              </w:rPr>
              <m:t>u</m:t>
            </m:r>
          </m:sub>
        </m:sSub>
        <m:r>
          <m:rPr>
            <m:sty m:val="p"/>
          </m:rPr>
          <w:rPr>
            <w:rFonts w:ascii="Cambria Math" w:hAnsi="Cambria Math"/>
          </w:rPr>
          <m:t>)</m:t>
        </m:r>
      </m:oMath>
      <w:r>
        <w:t>, where</w:t>
      </w:r>
      <w:commentRangeEnd w:id="23"/>
      <w:r w:rsidR="002527E8">
        <w:rPr>
          <w:rStyle w:val="CommentReference"/>
          <w:sz w:val="24"/>
          <w:szCs w:val="24"/>
        </w:rPr>
        <w:commentReference w:id="23"/>
      </w:r>
    </w:p>
    <w:p w14:paraId="37F7F44F"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u</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uv</m:t>
                  </m:r>
                </m:sub>
              </m:sSub>
            </m:e>
          </m:nary>
          <m:r>
            <m:rPr>
              <m:sty m:val="p"/>
            </m:rPr>
            <w:rPr>
              <w:rFonts w:ascii="Cambria Math" w:hAnsi="Cambria Math"/>
            </w:rPr>
            <m:t>,</m:t>
          </m:r>
        </m:oMath>
      </m:oMathPara>
    </w:p>
    <w:p w14:paraId="3E6456A3" w14:textId="77777777" w:rsidR="001A2697" w:rsidRDefault="00000000">
      <w:pPr>
        <w:pStyle w:val="FirstParagraph"/>
      </w:pPr>
      <w:r>
        <w:t xml:space="preserve">and define </w:t>
      </w: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Under the assumptions of Theorem 1, </w:t>
      </w:r>
      <m:oMath>
        <m:r>
          <w:rPr>
            <w:rFonts w:ascii="Cambria Math" w:hAnsi="Cambria Math"/>
          </w:rPr>
          <m:t>L</m:t>
        </m:r>
      </m:oMath>
      <w:r>
        <w:t xml:space="preserve"> is positive semidefinite.</w:t>
      </w:r>
    </w:p>
    <w:p w14:paraId="2A5C802F" w14:textId="77777777" w:rsidR="001A2697" w:rsidRDefault="00000000">
      <w:pPr>
        <w:pStyle w:val="BodyText"/>
      </w:pPr>
      <w:r>
        <w:rPr>
          <w:i/>
          <w:iCs/>
        </w:rPr>
        <w:t>Proof.</w:t>
      </w:r>
      <w:r>
        <w:t xml:space="preserve"> For any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m</m:t>
            </m:r>
          </m:sup>
        </m:sSup>
      </m:oMath>
      <w:r>
        <w:t>,</w:t>
      </w:r>
    </w:p>
    <w:p w14:paraId="39AE642A" w14:textId="77777777" w:rsidR="001A2697" w:rsidRDefault="00000000">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uv</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724577F8" w14:textId="77777777" w:rsidR="001A2697" w:rsidRDefault="00000000">
      <w:pPr>
        <w:pStyle w:val="FirstParagraph"/>
      </w:pPr>
      <w:commentRangeStart w:id="24"/>
      <w:r>
        <w:t xml:space="preserve">because </w:t>
      </w:r>
      <m:oMath>
        <m:sSub>
          <m:sSubPr>
            <m:ctrlPr>
              <w:rPr>
                <w:rFonts w:ascii="Cambria Math" w:hAnsi="Cambria Math"/>
              </w:rPr>
            </m:ctrlPr>
          </m:sSubPr>
          <m:e>
            <m:r>
              <w:rPr>
                <w:rFonts w:ascii="Cambria Math" w:hAnsi="Cambria Math"/>
              </w:rPr>
              <m:t>A</m:t>
            </m:r>
          </m:e>
          <m:sub>
            <m:r>
              <w:rPr>
                <w:rFonts w:ascii="Cambria Math" w:hAnsi="Cambria Math"/>
              </w:rPr>
              <m:t>uv</m:t>
            </m:r>
          </m:sub>
        </m:sSub>
        <m:r>
          <m:rPr>
            <m:sty m:val="p"/>
          </m:rPr>
          <w:rPr>
            <w:rFonts w:ascii="Cambria Math" w:hAnsi="Cambria Math"/>
          </w:rPr>
          <m:t>≥</m:t>
        </m:r>
        <m:r>
          <w:rPr>
            <w:rFonts w:ascii="Cambria Math" w:hAnsi="Cambria Math"/>
          </w:rPr>
          <m:t>0</m:t>
        </m:r>
      </m:oMath>
      <w:r>
        <w:t xml:space="preserve">. Thus </w:t>
      </w:r>
      <m:oMath>
        <m:r>
          <w:rPr>
            <w:rFonts w:ascii="Cambria Math" w:hAnsi="Cambria Math"/>
          </w:rPr>
          <m:t>L</m:t>
        </m:r>
        <m:r>
          <m:rPr>
            <m:sty m:val="p"/>
          </m:rPr>
          <w:rPr>
            <w:rFonts w:ascii="Cambria Math" w:hAnsi="Cambria Math"/>
          </w:rPr>
          <m:t>≽</m:t>
        </m:r>
        <m:r>
          <w:rPr>
            <w:rFonts w:ascii="Cambria Math" w:hAnsi="Cambria Math"/>
          </w:rPr>
          <m:t>0</m:t>
        </m:r>
      </m:oMath>
      <w:r>
        <w:t xml:space="preserve">. Under this Laplacian convention, diagonal self-loops do not affect the quadratic form because their contribution has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commentRangeEnd w:id="24"/>
      <w:r>
        <w:rPr>
          <w:rStyle w:val="CommentReference"/>
          <w:sz w:val="24"/>
          <w:szCs w:val="24"/>
        </w:rPr>
        <w:commentReference w:id="24"/>
      </w:r>
    </w:p>
    <w:p w14:paraId="6E1867B1" w14:textId="77777777" w:rsidR="001A2697" w:rsidRDefault="00000000">
      <w:pPr>
        <w:pStyle w:val="BodyText"/>
      </w:pPr>
      <w:commentRangeStart w:id="25"/>
      <w:r>
        <w:rPr>
          <w:b/>
          <w:bCs/>
        </w:rPr>
        <w:t>Remark 1 (Adjacency is not a kernel).</w:t>
      </w:r>
      <w:r>
        <w:t xml:space="preserve"> The preceding result concerns the graph Laplacian, not the adjacency matrix itself. In general,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is not a positive semidefinite kernel or covariance matrix. A nonnegative symmetric adjacency matrix can be indefinite; for example,</w:t>
      </w:r>
      <w:commentRangeEnd w:id="25"/>
      <w:r>
        <w:rPr>
          <w:rStyle w:val="CommentReference"/>
          <w:sz w:val="24"/>
          <w:szCs w:val="24"/>
        </w:rPr>
        <w:commentReference w:id="25"/>
      </w:r>
    </w:p>
    <w:p w14:paraId="394EE238" w14:textId="77777777" w:rsidR="001A2697" w:rsidRDefault="00000000">
      <w:pPr>
        <w:pStyle w:val="BodyText"/>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22494DFF" w14:textId="77777777" w:rsidR="001A2697" w:rsidRDefault="00000000">
      <w:pPr>
        <w:pStyle w:val="FirstParagraph"/>
      </w:pPr>
      <w:r>
        <w:t xml:space="preserve">has eigenvalues </w:t>
      </w:r>
      <m:oMath>
        <m:r>
          <w:rPr>
            <w:rFonts w:ascii="Cambria Math" w:hAnsi="Cambria Math"/>
          </w:rPr>
          <m:t>1</m:t>
        </m:r>
      </m:oMath>
      <w:r>
        <w:t xml:space="preserve"> and </w:t>
      </w:r>
      <m:oMath>
        <m:r>
          <m:rPr>
            <m:sty m:val="p"/>
          </m:rPr>
          <w:rPr>
            <w:rFonts w:ascii="Cambria Math" w:hAnsi="Cambria Math"/>
          </w:rPr>
          <m:t>-</m:t>
        </m:r>
        <m:r>
          <w:rPr>
            <w:rFonts w:ascii="Cambria Math" w:hAnsi="Cambria Math"/>
          </w:rPr>
          <m:t>1</m:t>
        </m:r>
      </m:oMath>
      <w:r>
        <w:t>.</w:t>
      </w:r>
    </w:p>
    <w:p w14:paraId="7141E655" w14:textId="77777777" w:rsidR="001A2697" w:rsidRDefault="00000000">
      <w:pPr>
        <w:pStyle w:val="BodyText"/>
      </w:pPr>
      <w:r>
        <w:rPr>
          <w:b/>
          <w:bCs/>
        </w:rPr>
        <w:t>Proposition 2 (Coherent boundary cases).</w:t>
      </w:r>
      <w:r>
        <w:t xml:space="preserve"> With admissible normalizations satisfying </w:t>
      </w: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the SENA formula has the following mathematically coherent limits:</w:t>
      </w:r>
    </w:p>
    <w:p w14:paraId="082E3BA6" w14:textId="77777777" w:rsidR="001A2697" w:rsidRDefault="00000000">
      <w:pPr>
        <w:pStyle w:val="Compact"/>
        <w:numPr>
          <w:ilvl w:val="0"/>
          <w:numId w:val="3"/>
        </w:numPr>
      </w:pPr>
      <w:r>
        <w:t xml:space="preserve">If </w:t>
      </w:r>
      <m:oMath>
        <m:r>
          <w:rPr>
            <w:rFonts w:ascii="Cambria Math" w:hAnsi="Cambria Math"/>
          </w:rPr>
          <m:t>γ</m:t>
        </m:r>
        <m:r>
          <m:rPr>
            <m:sty m:val="p"/>
          </m:rPr>
          <w:rPr>
            <w:rFonts w:ascii="Cambria Math" w:hAnsi="Cambria Math"/>
          </w:rPr>
          <m:t>=</m:t>
        </m:r>
        <m:r>
          <w:rPr>
            <w:rFonts w:ascii="Cambria Math" w:hAnsi="Cambria Math"/>
          </w:rPr>
          <m:t>0</m:t>
        </m:r>
      </m:oMath>
      <w:r>
        <w:t>, the social and epistemic layers are disconnected.</w:t>
      </w:r>
    </w:p>
    <w:p w14:paraId="70B31104" w14:textId="77777777" w:rsidR="001A2697" w:rsidRDefault="00000000">
      <w:pPr>
        <w:pStyle w:val="Compact"/>
        <w:numPr>
          <w:ilvl w:val="0"/>
          <w:numId w:val="3"/>
        </w:numPr>
      </w:pPr>
      <w:r>
        <w:t xml:space="preserve">If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oMath>
      <w:r>
        <w:t>, the graph is a pure person-code bipartite graph.</w:t>
      </w:r>
    </w:p>
    <w:p w14:paraId="20A0ABC2" w14:textId="77777777" w:rsidR="001A2697" w:rsidRDefault="00000000">
      <w:pPr>
        <w:pStyle w:val="Compact"/>
        <w:numPr>
          <w:ilvl w:val="0"/>
          <w:numId w:val="3"/>
        </w:numPr>
      </w:pPr>
      <w:r>
        <w:t xml:space="preserve">If </w:t>
      </w:r>
      <m:oMath>
        <m:r>
          <w:rPr>
            <w:rFonts w:ascii="Cambria Math" w:hAnsi="Cambria Math"/>
          </w:rPr>
          <m:t>B</m:t>
        </m:r>
        <m:r>
          <m:rPr>
            <m:sty m:val="p"/>
          </m:rPr>
          <w:rPr>
            <w:rFonts w:ascii="Cambria Math" w:hAnsi="Cambria Math"/>
          </w:rPr>
          <m:t>=</m:t>
        </m:r>
        <m:r>
          <w:rPr>
            <w:rFonts w:ascii="Cambria Math" w:hAnsi="Cambria Math"/>
          </w:rPr>
          <m:t>0</m:t>
        </m:r>
      </m:oMath>
      <w:r>
        <w:t>, the formula reduces to a disconnected social block and epistemic block.</w:t>
      </w:r>
    </w:p>
    <w:p w14:paraId="4EE9FB21" w14:textId="77777777" w:rsidR="001A2697" w:rsidRDefault="00000000">
      <w:pPr>
        <w:pStyle w:val="Compact"/>
        <w:numPr>
          <w:ilvl w:val="0"/>
          <w:numId w:val="3"/>
        </w:numPr>
      </w:pPr>
      <w:r>
        <w:t xml:space="preserve">If </w:t>
      </w:r>
      <m:oMath>
        <m:r>
          <w:rPr>
            <w:rFonts w:ascii="Cambria Math" w:hAnsi="Cambria Math"/>
          </w:rPr>
          <m:t>α</m:t>
        </m:r>
        <m:r>
          <m:rPr>
            <m:sty m:val="p"/>
          </m:rPr>
          <w:rPr>
            <w:rFonts w:ascii="Cambria Math" w:hAnsi="Cambria Math"/>
          </w:rPr>
          <m:t>=</m:t>
        </m:r>
        <m:r>
          <w:rPr>
            <w:rFonts w:ascii="Cambria Math" w:hAnsi="Cambria Math"/>
          </w:rPr>
          <m:t>0</m:t>
        </m:r>
      </m:oMath>
      <w:r>
        <w:t>, person-person social edges are suppressed.</w:t>
      </w:r>
    </w:p>
    <w:p w14:paraId="01541009" w14:textId="77777777" w:rsidR="001A2697" w:rsidRDefault="00000000">
      <w:pPr>
        <w:pStyle w:val="Compact"/>
        <w:numPr>
          <w:ilvl w:val="0"/>
          <w:numId w:val="3"/>
        </w:numPr>
      </w:pPr>
      <w:r>
        <w:t xml:space="preserve">If </w:t>
      </w:r>
      <m:oMath>
        <m:r>
          <w:rPr>
            <w:rFonts w:ascii="Cambria Math" w:hAnsi="Cambria Math"/>
          </w:rPr>
          <m:t>β</m:t>
        </m:r>
        <m:r>
          <m:rPr>
            <m:sty m:val="p"/>
          </m:rPr>
          <w:rPr>
            <w:rFonts w:ascii="Cambria Math" w:hAnsi="Cambria Math"/>
          </w:rPr>
          <m:t>=</m:t>
        </m:r>
        <m:r>
          <w:rPr>
            <w:rFonts w:ascii="Cambria Math" w:hAnsi="Cambria Math"/>
          </w:rPr>
          <m:t>0</m:t>
        </m:r>
      </m:oMath>
      <w:r>
        <w:t>, code-code epistemic edges are suppressed.</w:t>
      </w:r>
    </w:p>
    <w:p w14:paraId="10F7E417" w14:textId="77777777" w:rsidR="001A2697" w:rsidRDefault="00000000">
      <w:pPr>
        <w:pStyle w:val="FirstParagraph"/>
      </w:pPr>
      <w:r>
        <w:rPr>
          <w:i/>
          <w:iCs/>
        </w:rPr>
        <w:t>Proof.</w:t>
      </w:r>
      <w:r>
        <w:t xml:space="preserve"> Each statement follows by substituting the specified zero value into the fusion matrix and using </w:t>
      </w:r>
      <m:oMath>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where a zero empirical layer is normalized. </w:t>
      </w:r>
      <m:oMath>
        <m:r>
          <m:rPr>
            <m:sty m:val="p"/>
          </m:rPr>
          <w:rPr>
            <w:rFonts w:ascii="Cambria Math" w:hAnsi="Cambria Math"/>
          </w:rPr>
          <m:t>▫</m:t>
        </m:r>
      </m:oMath>
    </w:p>
    <w:p w14:paraId="10F61064" w14:textId="77777777" w:rsidR="001A2697" w:rsidRDefault="00000000">
      <w:pPr>
        <w:pStyle w:val="BodyText"/>
      </w:pPr>
      <w:r>
        <w:rPr>
          <w:b/>
          <w:bCs/>
        </w:rPr>
        <w:t>Theorem 2 (No direct contradiction with ENA projection).</w:t>
      </w:r>
      <w:r>
        <w:t xml:space="preserve"> The claim that SNA and ENA cannot be shown in one model because SNA is not dimensionally reduced while ENA is dimensionally reduced is false when SENA is constructed as the SENA fusion matrix and then embedded by a declared graph embedding operator.</w:t>
      </w:r>
    </w:p>
    <w:p w14:paraId="4ADF76A0" w14:textId="77777777" w:rsidR="001A2697" w:rsidRDefault="00000000">
      <w:pPr>
        <w:pStyle w:val="BodyText"/>
      </w:pPr>
      <w:r>
        <w:rPr>
          <w:i/>
          <w:iCs/>
        </w:rPr>
        <w:t>Proof.</w:t>
      </w:r>
      <w:r>
        <w:t xml:space="preserve"> Let </w:t>
      </w:r>
      <m:oMath>
        <m:r>
          <m:rPr>
            <m:sty m:val="p"/>
          </m:rPr>
          <w:rPr>
            <w:rFonts w:ascii="Cambria Math" w:hAnsi="Cambria Math"/>
          </w:rPr>
          <m:t>Φ</m:t>
        </m:r>
      </m:oMath>
      <w:r>
        <w:t xml:space="preserve"> be an explicitly chosen embedding operator, for example spectral embedding, Laplacian eigenmaps, or multidimensional scaling on graph distances. The displayed coordinates are then</w:t>
      </w:r>
    </w:p>
    <w:p w14:paraId="79D6B359" w14:textId="77777777" w:rsidR="001A2697" w:rsidRDefault="00000000">
      <w:pPr>
        <w:pStyle w:val="BodyText"/>
      </w:pPr>
      <m:oMathPara>
        <m:oMathParaPr>
          <m:jc m:val="center"/>
        </m:oMathParaPr>
        <m:oMath>
          <m:r>
            <w:rPr>
              <w:rFonts w:ascii="Cambria Math" w:hAnsi="Cambria Math"/>
            </w:rPr>
            <m:t>Z</m:t>
          </m:r>
          <m:r>
            <m:rPr>
              <m:sty m:val="p"/>
            </m:rPr>
            <w:rPr>
              <w:rFonts w:ascii="Cambria Math" w:hAnsi="Cambria Math"/>
            </w:rPr>
            <m:t>=Φ(</m:t>
          </m:r>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d</m:t>
              </m:r>
            </m:sup>
          </m:sSup>
          <m:r>
            <m:rPr>
              <m:sty m:val="p"/>
            </m:rPr>
            <w:rPr>
              <w:rFonts w:ascii="Cambria Math" w:hAnsi="Cambria Math"/>
            </w:rPr>
            <m:t>.</m:t>
          </m:r>
        </m:oMath>
      </m:oMathPara>
    </w:p>
    <w:p w14:paraId="3CAB500C" w14:textId="77777777" w:rsidR="001A2697" w:rsidRDefault="00000000">
      <w:pPr>
        <w:pStyle w:val="FirstParagraph"/>
      </w:pPr>
      <w:r>
        <w:t xml:space="preserve">The coordinates are derived from the joint object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not by placing raw SNA nodes into a pre-existing ENA projection. Hence the dimensionality of a prior ENA display does not prevent a joint SENA embedding. What is invalid is a different operation: visually overlaying a raw social graph onto an ENA space and then interpreting all cross-type distances as if they came from one common model. </w:t>
      </w:r>
      <m:oMath>
        <m:r>
          <m:rPr>
            <m:sty m:val="p"/>
          </m:rPr>
          <w:rPr>
            <w:rFonts w:ascii="Cambria Math" w:hAnsi="Cambria Math"/>
          </w:rPr>
          <m:t>▫</m:t>
        </m:r>
      </m:oMath>
    </w:p>
    <w:p w14:paraId="132AB9CC" w14:textId="77777777" w:rsidR="001A2697" w:rsidRDefault="00000000">
      <w:pPr>
        <w:pStyle w:val="BodyText"/>
      </w:pPr>
      <w:commentRangeStart w:id="26"/>
      <w:r>
        <w:t xml:space="preserve">Analytical embedding and visual layout are distinct. A force-directed layout can be useful for exploratory display, but its distances, angles, and clusters should not be given the </w:t>
      </w:r>
      <w:r>
        <w:lastRenderedPageBreak/>
        <w:t>same metric or inferential interpretation as a declared analytical embedding unless that interpretation is separately justified.</w:t>
      </w:r>
      <w:commentRangeEnd w:id="26"/>
      <w:r>
        <w:rPr>
          <w:rStyle w:val="CommentReference"/>
          <w:sz w:val="24"/>
          <w:szCs w:val="24"/>
        </w:rPr>
        <w:commentReference w:id="26"/>
      </w:r>
    </w:p>
    <w:p w14:paraId="69268DFD" w14:textId="77777777" w:rsidR="001A2697" w:rsidRDefault="00000000">
      <w:pPr>
        <w:pStyle w:val="Heading2"/>
      </w:pPr>
      <w:bookmarkStart w:id="27" w:name="person-code-pair-attribution"/>
      <w:bookmarkEnd w:id="20"/>
      <w:commentRangeStart w:id="28"/>
      <w:r>
        <w:t>Person-Code-Pair Attribution</w:t>
      </w:r>
    </w:p>
    <w:p w14:paraId="07221CAC" w14:textId="77777777" w:rsidR="001A2697" w:rsidRDefault="00000000">
      <w:pPr>
        <w:pStyle w:val="FirstParagraph"/>
      </w:pPr>
      <w:r>
        <w:t xml:space="preserve">The bridge matrix </w:t>
      </w:r>
      <m:oMath>
        <m:r>
          <w:rPr>
            <w:rFonts w:ascii="Cambria Math" w:hAnsi="Cambria Math"/>
          </w:rPr>
          <m:t>B</m:t>
        </m:r>
      </m:oMath>
      <w:r>
        <w:t xml:space="preserve"> records which persons are associated with which codes under the chosen participation and coding scheme. ENA edges, however, are code-code relations. To attribute an ENA edge to persons, define a person-code-pair attribution tensor</w:t>
      </w:r>
    </w:p>
    <w:p w14:paraId="42B2AC54"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ab</m:t>
              </m:r>
            </m:sub>
          </m:sSub>
          <m:r>
            <m:rPr>
              <m:sty m:val="p"/>
            </m:rPr>
            <w:rPr>
              <w:rFonts w:ascii="Cambria Math" w:hAnsi="Cambria Math"/>
            </w:rPr>
            <m:t>=</m:t>
          </m:r>
          <m:r>
            <m:rPr>
              <m:nor/>
            </m:rPr>
            <m:t xml:space="preserve">participation-weighted association of </m:t>
          </m:r>
          <m:sSub>
            <m:sSubPr>
              <m:ctrlPr>
                <w:rPr>
                  <w:rFonts w:ascii="Cambria Math" w:hAnsi="Cambria Math"/>
                </w:rPr>
              </m:ctrlPr>
            </m:sSubPr>
            <m:e>
              <m:r>
                <w:rPr>
                  <w:rFonts w:ascii="Cambria Math" w:hAnsi="Cambria Math"/>
                </w:rPr>
                <m:t>p</m:t>
              </m:r>
            </m:e>
            <m:sub>
              <m:r>
                <w:rPr>
                  <w:rFonts w:ascii="Cambria Math" w:hAnsi="Cambria Math"/>
                </w:rPr>
                <m:t>i</m:t>
              </m:r>
            </m:sub>
          </m:sSub>
          <m:r>
            <m:rPr>
              <m:nor/>
            </m:rPr>
            <m:t xml:space="preserve"> with the code pair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oMath>
      </m:oMathPara>
    </w:p>
    <w:p w14:paraId="5B89F50C" w14:textId="77777777" w:rsidR="001A2697" w:rsidRDefault="00000000">
      <w:pPr>
        <w:pStyle w:val="FirstParagraph"/>
      </w:pPr>
      <w:r>
        <w:t>A compatible estimator is</w:t>
      </w:r>
    </w:p>
    <w:p w14:paraId="568AA1BA" w14:textId="77777777" w:rsidR="001A2697" w:rsidRDefault="00000000">
      <w:pPr>
        <w:pStyle w:val="BodyText"/>
      </w:pP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ab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Y</m:t>
                </m:r>
              </m:e>
              <m:sub>
                <m:r>
                  <w:rPr>
                    <w:rFonts w:ascii="Cambria Math" w:hAnsi="Cambria Math"/>
                  </w:rPr>
                  <m:t>it</m:t>
                </m:r>
              </m:sub>
            </m:sSub>
          </m:e>
        </m:nary>
        <m:sSub>
          <m:sSubPr>
            <m:ctrlPr>
              <w:rPr>
                <w:rFonts w:ascii="Cambria Math" w:hAnsi="Cambria Math"/>
              </w:rPr>
            </m:ctrlPr>
          </m:sSubPr>
          <m:e>
            <m:r>
              <w:rPr>
                <w:rFonts w:ascii="Cambria Math" w:hAnsi="Cambria Math"/>
              </w:rPr>
              <m:t>X</m:t>
            </m:r>
          </m:e>
          <m:sub>
            <m:r>
              <w:rPr>
                <w:rFonts w:ascii="Cambria Math" w:hAnsi="Cambria Math"/>
              </w:rPr>
              <m:t>ta</m:t>
            </m:r>
          </m:sub>
        </m:sSub>
        <m:sSub>
          <m:sSubPr>
            <m:ctrlPr>
              <w:rPr>
                <w:rFonts w:ascii="Cambria Math" w:hAnsi="Cambria Math"/>
              </w:rPr>
            </m:ctrlPr>
          </m:sSubPr>
          <m:e>
            <m:r>
              <w:rPr>
                <w:rFonts w:ascii="Cambria Math" w:hAnsi="Cambria Math"/>
              </w:rPr>
              <m:t>X</m:t>
            </m:r>
          </m:e>
          <m:sub>
            <m:r>
              <w:rPr>
                <w:rFonts w:ascii="Cambria Math" w:hAnsi="Cambria Math"/>
              </w:rPr>
              <m:t>tb</m:t>
            </m:r>
          </m:sub>
        </m:sSub>
        <m:r>
          <m:rPr>
            <m:sty m:val="p"/>
          </m:rPr>
          <w:rPr>
            <w:rFonts w:ascii="Cambria Math" w:hAnsi="Cambria Math"/>
          </w:rPr>
          <m:t>.</m:t>
        </m:r>
      </m:oMath>
      <w:commentRangeEnd w:id="28"/>
      <w:r w:rsidR="002527E8">
        <w:rPr>
          <w:rStyle w:val="CommentReference"/>
          <w:sz w:val="24"/>
          <w:szCs w:val="24"/>
        </w:rPr>
        <w:commentReference w:id="28"/>
      </w:r>
    </w:p>
    <w:p w14:paraId="1F6B4AA4" w14:textId="77777777" w:rsidR="001A2697" w:rsidRDefault="00000000">
      <w:pPr>
        <w:pStyle w:val="FirstParagraph"/>
      </w:pPr>
      <w:commentRangeStart w:id="29"/>
      <w:r>
        <w:t xml:space="preserve">This tensor is useful for reporting person-code-pair association, but it is not a block of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Moreover, without person-specific code-pair evidence,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ab</m:t>
            </m:r>
          </m:sub>
        </m:sSub>
      </m:oMath>
      <w:r>
        <w:t xml:space="preserve"> does not prove that person </w:t>
      </w:r>
      <m:oMath>
        <m:r>
          <w:rPr>
            <w:rFonts w:ascii="Cambria Math" w:hAnsi="Cambria Math"/>
          </w:rPr>
          <m:t>i</m:t>
        </m:r>
      </m:oMath>
      <w:r>
        <w:t xml:space="preserve"> supported the code-code connection. A cautious interpretation is: person </w:t>
      </w:r>
      <m:oMath>
        <m:r>
          <w:rPr>
            <w:rFonts w:ascii="Cambria Math" w:hAnsi="Cambria Math"/>
          </w:rPr>
          <m:t>i</m:t>
        </m:r>
      </m:oMath>
      <w:r>
        <w:t xml:space="preserve"> was associated, through participation, with windows containing the code pair. Stronger claims require person-specific coded records, such as </w:t>
      </w:r>
      <m:oMath>
        <m:sSub>
          <m:sSubPr>
            <m:ctrlPr>
              <w:rPr>
                <w:rFonts w:ascii="Cambria Math" w:hAnsi="Cambria Math"/>
              </w:rPr>
            </m:ctrlPr>
          </m:sSubPr>
          <m:e>
            <m:r>
              <w:rPr>
                <w:rFonts w:ascii="Cambria Math" w:hAnsi="Cambria Math"/>
              </w:rPr>
              <m:t>X</m:t>
            </m:r>
          </m:e>
          <m:sub>
            <m:r>
              <w:rPr>
                <w:rFonts w:ascii="Cambria Math" w:hAnsi="Cambria Math"/>
              </w:rPr>
              <m:t>ita</m:t>
            </m:r>
          </m:sub>
        </m:sSub>
      </m:oMath>
      <w:r>
        <w:t>, or a transparent attribution model.</w:t>
      </w:r>
      <w:commentRangeEnd w:id="29"/>
      <w:r>
        <w:rPr>
          <w:rStyle w:val="CommentReference"/>
          <w:sz w:val="24"/>
          <w:szCs w:val="24"/>
        </w:rPr>
        <w:commentReference w:id="29"/>
      </w:r>
    </w:p>
    <w:p w14:paraId="721B48E5" w14:textId="77777777" w:rsidR="001A2697" w:rsidRDefault="00000000">
      <w:pPr>
        <w:pStyle w:val="Heading2"/>
      </w:pPr>
      <w:bookmarkStart w:id="30" w:name="normalization-and-identifiability"/>
      <w:bookmarkEnd w:id="27"/>
      <w:r>
        <w:t>Normalization and Identifiability</w:t>
      </w:r>
    </w:p>
    <w:p w14:paraId="1BC878CC" w14:textId="77777777" w:rsidR="001A2697" w:rsidRDefault="00000000">
      <w:pPr>
        <w:pStyle w:val="FirstParagraph"/>
      </w:pPr>
      <w:r>
        <w:t xml:space="preserve">The layer weights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are interpretable only relative to the normalization rule. In the raw, unnormalized formulation,</w:t>
      </w:r>
    </w:p>
    <w:p w14:paraId="74CEEA78"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raw</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αS</m:t>
                    </m:r>
                  </m:e>
                  <m:e>
                    <m:r>
                      <w:rPr>
                        <w:rFonts w:ascii="Cambria Math" w:hAnsi="Cambria Math"/>
                      </w:rPr>
                      <m:t>γB</m:t>
                    </m:r>
                  </m:e>
                </m:mr>
                <m:mr>
                  <m:e>
                    <m:r>
                      <w:rPr>
                        <w:rFonts w:ascii="Cambria Math" w:hAnsi="Cambria Math"/>
                      </w:rPr>
                      <m:t>γ</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e>
                    <m:r>
                      <w:rPr>
                        <w:rFonts w:ascii="Cambria Math" w:hAnsi="Cambria Math"/>
                      </w:rPr>
                      <m:t>βW</m:t>
                    </m:r>
                  </m:e>
                </m:mr>
              </m:m>
            </m:e>
          </m:d>
          <m:r>
            <m:rPr>
              <m:sty m:val="p"/>
            </m:rPr>
            <w:rPr>
              <w:rFonts w:ascii="Cambria Math" w:hAnsi="Cambria Math"/>
            </w:rPr>
            <m:t>,</m:t>
          </m:r>
        </m:oMath>
      </m:oMathPara>
    </w:p>
    <w:p w14:paraId="4105FEEC" w14:textId="77777777" w:rsidR="001A2697" w:rsidRDefault="00000000">
      <w:pPr>
        <w:pStyle w:val="FirstParagraph"/>
      </w:pPr>
      <w:r>
        <w:t>there is an exact scale invariance.</w:t>
      </w:r>
    </w:p>
    <w:p w14:paraId="1E116AD8" w14:textId="77777777" w:rsidR="001A2697" w:rsidRDefault="00000000">
      <w:pPr>
        <w:pStyle w:val="BodyText"/>
      </w:pPr>
      <w:commentRangeStart w:id="31"/>
      <w:r>
        <w:rPr>
          <w:b/>
          <w:bCs/>
        </w:rPr>
        <w:t>Proposition 3 (Unnormalized scale invariance).</w:t>
      </w:r>
      <w:r>
        <w:t xml:space="preserve"> Let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&gt;</m:t>
        </m:r>
        <m:r>
          <w:rPr>
            <w:rFonts w:ascii="Cambria Math" w:hAnsi="Cambria Math"/>
          </w:rPr>
          <m:t>0</m:t>
        </m:r>
      </m:oMath>
      <w:r>
        <w:t xml:space="preserve">. Replacing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m:t>
        </m:r>
      </m:oMath>
      <w:r>
        <w:t xml:space="preserve"> by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B</m:t>
        </m:r>
      </m:oMath>
      <w:r>
        <w:t xml:space="preserve"> and replacing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by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leaves </w:t>
      </w:r>
      <m:oMath>
        <m:sSub>
          <m:sSubPr>
            <m:ctrlPr>
              <w:rPr>
                <w:rFonts w:ascii="Cambria Math" w:hAnsi="Cambria Math"/>
              </w:rPr>
            </m:ctrlPr>
          </m:sSubPr>
          <m:e>
            <m:r>
              <w:rPr>
                <w:rFonts w:ascii="Cambria Math" w:hAnsi="Cambria Math"/>
              </w:rPr>
              <m:t>A</m:t>
            </m:r>
          </m:e>
          <m:sub>
            <m:r>
              <m:rPr>
                <m:sty m:val="p"/>
              </m:rPr>
              <w:rPr>
                <w:rFonts w:ascii="Cambria Math" w:hAnsi="Cambria Math"/>
              </w:rPr>
              <m:t>raw</m:t>
            </m:r>
          </m:sub>
        </m:sSub>
      </m:oMath>
      <w:r>
        <w:t xml:space="preserve"> unchanged.</w:t>
      </w:r>
      <w:commentRangeEnd w:id="31"/>
      <w:r>
        <w:rPr>
          <w:rStyle w:val="CommentReference"/>
          <w:sz w:val="24"/>
          <w:szCs w:val="24"/>
        </w:rPr>
        <w:commentReference w:id="31"/>
      </w:r>
    </w:p>
    <w:p w14:paraId="1D3CA268" w14:textId="77777777" w:rsidR="001A2697" w:rsidRDefault="00000000">
      <w:pPr>
        <w:pStyle w:val="BodyText"/>
      </w:pPr>
      <w:r>
        <w:rPr>
          <w:i/>
          <w:iCs/>
        </w:rPr>
        <w:t>Proof.</w:t>
      </w:r>
      <w:r>
        <w:t xml:space="preserve"> Substitute the rescaled matrices and rescaled weights into </w:t>
      </w:r>
      <m:oMath>
        <m:sSub>
          <m:sSubPr>
            <m:ctrlPr>
              <w:rPr>
                <w:rFonts w:ascii="Cambria Math" w:hAnsi="Cambria Math"/>
              </w:rPr>
            </m:ctrlPr>
          </m:sSubPr>
          <m:e>
            <m:r>
              <w:rPr>
                <w:rFonts w:ascii="Cambria Math" w:hAnsi="Cambria Math"/>
              </w:rPr>
              <m:t>A</m:t>
            </m:r>
          </m:e>
          <m:sub>
            <m:r>
              <m:rPr>
                <m:sty m:val="p"/>
              </m:rPr>
              <w:rPr>
                <w:rFonts w:ascii="Cambria Math" w:hAnsi="Cambria Math"/>
              </w:rPr>
              <m:t>raw</m:t>
            </m:r>
          </m:sub>
        </m:sSub>
      </m:oMath>
      <w:r>
        <w:t xml:space="preserve">. Each block is unchanged. </w:t>
      </w:r>
      <m:oMath>
        <m:r>
          <m:rPr>
            <m:sty m:val="p"/>
          </m:rPr>
          <w:rPr>
            <w:rFonts w:ascii="Cambria Math" w:hAnsi="Cambria Math"/>
          </w:rPr>
          <m:t>▫</m:t>
        </m:r>
      </m:oMath>
    </w:p>
    <w:p w14:paraId="3A2F43A0" w14:textId="77777777" w:rsidR="001A2697" w:rsidRDefault="00000000">
      <w:pPr>
        <w:pStyle w:val="BodyText"/>
      </w:pPr>
      <w:r>
        <w:t xml:space="preserve">This proposition does not directly apply to the normalized matrix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For example, max normalization and Frobenius normalization often satisfy </w:t>
      </w:r>
      <m:oMath>
        <m:r>
          <w:rPr>
            <w:rFonts w:ascii="Cambria Math" w:hAnsi="Cambria Math"/>
          </w:rPr>
          <m:t>N</m:t>
        </m:r>
        <m:r>
          <m:rPr>
            <m:sty m:val="p"/>
          </m:rPr>
          <w:rPr>
            <w:rFonts w:ascii="Cambria Math" w:hAnsi="Cambria Math"/>
          </w:rPr>
          <m:t>(</m:t>
        </m:r>
        <m:r>
          <w:rPr>
            <w:rFonts w:ascii="Cambria Math" w:hAnsi="Cambria Math"/>
          </w:rPr>
          <m:t>cM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for </w:t>
      </w:r>
      <m:oMath>
        <m:r>
          <w:rPr>
            <w:rFonts w:ascii="Cambria Math" w:hAnsi="Cambria Math"/>
          </w:rPr>
          <m:t>c</m:t>
        </m:r>
        <m:r>
          <m:rPr>
            <m:sty m:val="p"/>
          </m:rPr>
          <w:rPr>
            <w:rFonts w:ascii="Cambria Math" w:hAnsi="Cambria Math"/>
          </w:rPr>
          <m:t>&gt;</m:t>
        </m:r>
        <m:r>
          <w:rPr>
            <w:rFonts w:ascii="Cambria Math" w:hAnsi="Cambria Math"/>
          </w:rPr>
          <m:t>0</m:t>
        </m:r>
      </m:oMath>
      <w:r>
        <w:t xml:space="preserve">, while logarithmic normalization generally does not reduce to simple linear rescaling. Thus, in the normalized SENA formulation, raw scale is handled by the declared normalization convention, and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should be interpreted only after that convention is fixed.</w:t>
      </w:r>
    </w:p>
    <w:p w14:paraId="424234C8" w14:textId="77777777" w:rsidR="001A2697" w:rsidRDefault="00000000">
      <w:pPr>
        <w:pStyle w:val="BodyText"/>
      </w:pPr>
      <w:r>
        <w:rPr>
          <w:b/>
          <w:bCs/>
        </w:rPr>
        <w:t>Corollary 2.</w:t>
      </w:r>
      <w:r>
        <w:t xml:space="preserve"> Any empirical SENA report must disclose the normalization rule before interpreting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w:t>
      </w:r>
    </w:p>
    <w:p w14:paraId="00EFA677" w14:textId="77777777" w:rsidR="001A2697" w:rsidRDefault="00000000">
      <w:pPr>
        <w:pStyle w:val="Heading2"/>
      </w:pPr>
      <w:bookmarkStart w:id="32" w:name="X517d31d75dd1c18f0f320a31e178948bcf31c27"/>
      <w:bookmarkEnd w:id="30"/>
      <w:r>
        <w:lastRenderedPageBreak/>
        <w:t>Typed Centrality and Layout Interpretation</w:t>
      </w:r>
    </w:p>
    <w:p w14:paraId="04D1D37D" w14:textId="77777777" w:rsidR="001A2697" w:rsidRDefault="00000000">
      <w:pPr>
        <w:pStyle w:val="FirstParagraph"/>
      </w:pPr>
      <w:commentRangeStart w:id="33"/>
      <w:r>
        <w:t>Typed graph centrality requires caution. A person node and a code node can both have degree, betweenness, eigenvector centrality, or PageRank scores, but these scores mix different empirical meanings: social activity, code prevalence, and cross-type bridging. Directly ranking persons and codes on a single centrality list is therefore usually misleading.</w:t>
      </w:r>
      <w:commentRangeEnd w:id="33"/>
      <w:r>
        <w:rPr>
          <w:rStyle w:val="CommentReference"/>
          <w:sz w:val="24"/>
          <w:szCs w:val="24"/>
        </w:rPr>
        <w:commentReference w:id="33"/>
      </w:r>
    </w:p>
    <w:p w14:paraId="00AB14FE" w14:textId="77777777" w:rsidR="001A2697" w:rsidRDefault="00000000">
      <w:pPr>
        <w:pStyle w:val="BodyText"/>
      </w:pPr>
      <w:r>
        <w:t>A SENA report should distinguish at least four quantities:</w:t>
      </w:r>
    </w:p>
    <w:p w14:paraId="3E510431" w14:textId="77777777" w:rsidR="001A2697" w:rsidRDefault="00000000">
      <w:pPr>
        <w:pStyle w:val="Compact"/>
        <w:numPr>
          <w:ilvl w:val="0"/>
          <w:numId w:val="4"/>
        </w:numPr>
      </w:pPr>
      <w:r>
        <w:t xml:space="preserve">within-type person-person measures on the </w:t>
      </w:r>
      <m:oMath>
        <m:r>
          <w:rPr>
            <w:rFonts w:ascii="Cambria Math" w:hAnsi="Cambria Math"/>
          </w:rPr>
          <m:t>S</m:t>
        </m:r>
      </m:oMath>
      <w:r>
        <w:t xml:space="preserve"> block;</w:t>
      </w:r>
    </w:p>
    <w:p w14:paraId="451A9891" w14:textId="77777777" w:rsidR="001A2697" w:rsidRDefault="00000000">
      <w:pPr>
        <w:pStyle w:val="Compact"/>
        <w:numPr>
          <w:ilvl w:val="0"/>
          <w:numId w:val="4"/>
        </w:numPr>
      </w:pPr>
      <w:r>
        <w:t xml:space="preserve">within-type code-code measures on the </w:t>
      </w:r>
      <m:oMath>
        <m:r>
          <w:rPr>
            <w:rFonts w:ascii="Cambria Math" w:hAnsi="Cambria Math"/>
          </w:rPr>
          <m:t>W</m:t>
        </m:r>
      </m:oMath>
      <w:r>
        <w:t xml:space="preserve"> block;</w:t>
      </w:r>
    </w:p>
    <w:p w14:paraId="285BC852" w14:textId="77777777" w:rsidR="001A2697" w:rsidRDefault="00000000">
      <w:pPr>
        <w:pStyle w:val="Compact"/>
        <w:numPr>
          <w:ilvl w:val="0"/>
          <w:numId w:val="4"/>
        </w:numPr>
      </w:pPr>
      <w:r>
        <w:t xml:space="preserve">cross-type bridge measures on the </w:t>
      </w:r>
      <m:oMath>
        <m:r>
          <w:rPr>
            <w:rFonts w:ascii="Cambria Math" w:hAnsi="Cambria Math"/>
          </w:rPr>
          <m:t>B</m:t>
        </m:r>
      </m:oMath>
      <w:r>
        <w:t xml:space="preserve"> block;</w:t>
      </w:r>
    </w:p>
    <w:p w14:paraId="6420BCDE" w14:textId="77777777" w:rsidR="001A2697" w:rsidRDefault="00000000">
      <w:pPr>
        <w:pStyle w:val="Compact"/>
        <w:numPr>
          <w:ilvl w:val="0"/>
          <w:numId w:val="4"/>
        </w:numPr>
      </w:pPr>
      <w:r>
        <w:t>whole-graph typed measures, interpreted as measures of position in the social-epistemic graph rather than as type-free importance.</w:t>
      </w:r>
    </w:p>
    <w:p w14:paraId="56FA6AA3" w14:textId="77777777" w:rsidR="001A2697" w:rsidRDefault="00000000">
      <w:pPr>
        <w:pStyle w:val="FirstParagraph"/>
      </w:pPr>
      <w:r>
        <w:t>Where appropriate, researchers should use block-normalized centrality, bipartite centrality, or meta-path measures. Layouts and embeddings should be reported with the operator, parameters, and random seed if stochastic.</w:t>
      </w:r>
    </w:p>
    <w:p w14:paraId="5FD9CED2" w14:textId="77777777" w:rsidR="001A2697" w:rsidRDefault="00000000">
      <w:pPr>
        <w:pStyle w:val="Heading2"/>
      </w:pPr>
      <w:bookmarkStart w:id="34" w:name="directed-and-temporal-extensions"/>
      <w:bookmarkEnd w:id="32"/>
      <w:commentRangeStart w:id="35"/>
      <w:r>
        <w:t>Directed and Temporal Extensions</w:t>
      </w:r>
      <w:commentRangeEnd w:id="35"/>
      <w:r w:rsidR="002527E8">
        <w:rPr>
          <w:rStyle w:val="CommentReference"/>
          <w:sz w:val="32"/>
          <w:szCs w:val="32"/>
        </w:rPr>
        <w:commentReference w:id="35"/>
      </w:r>
    </w:p>
    <w:p w14:paraId="41E045CD" w14:textId="77777777" w:rsidR="001A2697" w:rsidRDefault="00000000">
      <w:pPr>
        <w:pStyle w:val="FirstParagraph"/>
      </w:pPr>
      <w:commentRangeStart w:id="36"/>
      <w:r>
        <w:t xml:space="preserve">If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the same block construction defines a directed heterogeneous graph rather than an undirected one. The undirected Laplacian result above does not apply without additional directed-graph choices, such as an out-degree Laplacian, a random-walk operator, a symmetrized Laplacian, or another explicitly stated construction.</w:t>
      </w:r>
      <w:commentRangeEnd w:id="36"/>
      <w:r>
        <w:rPr>
          <w:rStyle w:val="CommentReference"/>
          <w:sz w:val="24"/>
          <w:szCs w:val="24"/>
        </w:rPr>
        <w:commentReference w:id="36"/>
      </w:r>
    </w:p>
    <w:p w14:paraId="53E29872" w14:textId="77777777" w:rsidR="001A2697" w:rsidRDefault="00000000">
      <w:pPr>
        <w:pStyle w:val="BodyText"/>
      </w:pPr>
      <w:r>
        <w:t>For directed SENA, a more general bridge model is</w:t>
      </w:r>
    </w:p>
    <w:p w14:paraId="36FF387D"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directed</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acc>
                      <m:accPr>
                        <m:ctrlPr>
                          <w:rPr>
                            <w:rFonts w:ascii="Cambria Math" w:hAnsi="Cambria Math"/>
                          </w:rPr>
                        </m:ctrlPr>
                      </m:accPr>
                      <m:e>
                        <m:r>
                          <w:rPr>
                            <w:rFonts w:ascii="Cambria Math" w:hAnsi="Cambria Math"/>
                          </w:rPr>
                          <m:t>S</m:t>
                        </m:r>
                      </m:e>
                    </m:acc>
                  </m:e>
                  <m:e>
                    <m:sSub>
                      <m:sSubPr>
                        <m:ctrlPr>
                          <w:rPr>
                            <w:rFonts w:ascii="Cambria Math" w:hAnsi="Cambria Math"/>
                          </w:rPr>
                        </m:ctrlPr>
                      </m:sSubPr>
                      <m:e>
                        <m:r>
                          <w:rPr>
                            <w:rFonts w:ascii="Cambria Math" w:hAnsi="Cambria Math"/>
                          </w:rPr>
                          <m:t>γ</m:t>
                        </m:r>
                      </m:e>
                      <m:sub>
                        <m:r>
                          <m:rPr>
                            <m:sty m:val="p"/>
                          </m:rPr>
                          <w:rPr>
                            <w:rFonts w:ascii="Cambria Math" w:hAnsi="Cambria Math"/>
                          </w:rPr>
                          <m:t>out</m:t>
                        </m:r>
                      </m:sub>
                    </m:sSub>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PC</m:t>
                        </m:r>
                      </m:sup>
                    </m:sSup>
                  </m:e>
                </m:mr>
                <m:mr>
                  <m:e>
                    <m:sSub>
                      <m:sSubPr>
                        <m:ctrlPr>
                          <w:rPr>
                            <w:rFonts w:ascii="Cambria Math" w:hAnsi="Cambria Math"/>
                          </w:rPr>
                        </m:ctrlPr>
                      </m:sSubPr>
                      <m:e>
                        <m:r>
                          <w:rPr>
                            <w:rFonts w:ascii="Cambria Math" w:hAnsi="Cambria Math"/>
                          </w:rPr>
                          <m:t>γ</m:t>
                        </m:r>
                      </m:e>
                      <m:sub>
                        <m:r>
                          <m:rPr>
                            <m:sty m:val="p"/>
                          </m:rPr>
                          <w:rPr>
                            <w:rFonts w:ascii="Cambria Math" w:hAnsi="Cambria Math"/>
                          </w:rPr>
                          <m:t>in</m:t>
                        </m:r>
                      </m:sub>
                    </m:sSub>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CP</m:t>
                        </m:r>
                      </m:sup>
                    </m:sSup>
                  </m:e>
                  <m:e>
                    <m:r>
                      <w:rPr>
                        <w:rFonts w:ascii="Cambria Math" w:hAnsi="Cambria Math"/>
                      </w:rPr>
                      <m:t>β</m:t>
                    </m:r>
                    <m:acc>
                      <m:accPr>
                        <m:ctrlPr>
                          <w:rPr>
                            <w:rFonts w:ascii="Cambria Math" w:hAnsi="Cambria Math"/>
                          </w:rPr>
                        </m:ctrlPr>
                      </m:accPr>
                      <m:e>
                        <m:r>
                          <w:rPr>
                            <w:rFonts w:ascii="Cambria Math" w:hAnsi="Cambria Math"/>
                          </w:rPr>
                          <m:t>W</m:t>
                        </m:r>
                      </m:e>
                    </m:acc>
                  </m:e>
                </m:mr>
              </m:m>
            </m:e>
          </m:d>
          <m:r>
            <m:rPr>
              <m:sty m:val="p"/>
            </m:rPr>
            <w:rPr>
              <w:rFonts w:ascii="Cambria Math" w:hAnsi="Cambria Math"/>
            </w:rPr>
            <m:t>,</m:t>
          </m:r>
        </m:oMath>
      </m:oMathPara>
    </w:p>
    <w:p w14:paraId="7826DC89" w14:textId="77777777" w:rsidR="001A2697" w:rsidRDefault="00000000">
      <w:pPr>
        <w:pStyle w:val="FirstParagraph"/>
      </w:pPr>
      <w:commentRangeStart w:id="37"/>
      <w:r>
        <w:t xml:space="preserve">where </w:t>
      </w:r>
      <m:oMath>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PC</m:t>
            </m:r>
          </m:sup>
        </m:s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m</m:t>
            </m:r>
          </m:sup>
        </m:sSubSup>
      </m:oMath>
      <w:r>
        <w:t xml:space="preserve"> represents person-to-code activation and </w:t>
      </w:r>
      <m:oMath>
        <m:sSup>
          <m:sSupPr>
            <m:ctrlPr>
              <w:rPr>
                <w:rFonts w:ascii="Cambria Math" w:hAnsi="Cambria Math"/>
              </w:rPr>
            </m:ctrlPr>
          </m:sSupPr>
          <m:e>
            <m:acc>
              <m:accPr>
                <m:ctrlPr>
                  <w:rPr>
                    <w:rFonts w:ascii="Cambria Math" w:hAnsi="Cambria Math"/>
                  </w:rPr>
                </m:ctrlPr>
              </m:accPr>
              <m:e>
                <m:r>
                  <w:rPr>
                    <w:rFonts w:ascii="Cambria Math" w:hAnsi="Cambria Math"/>
                  </w:rPr>
                  <m:t>B</m:t>
                </m:r>
              </m:e>
            </m:acc>
          </m:e>
          <m:sup>
            <m:r>
              <w:rPr>
                <w:rFonts w:ascii="Cambria Math" w:hAnsi="Cambria Math"/>
              </w:rPr>
              <m:t>CP</m:t>
            </m:r>
          </m:sup>
        </m:s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m</m:t>
            </m:r>
            <m:r>
              <m:rPr>
                <m:sty m:val="p"/>
              </m:rPr>
              <w:rPr>
                <w:rFonts w:ascii="Cambria Math" w:hAnsi="Cambria Math"/>
              </w:rPr>
              <m:t>×</m:t>
            </m:r>
            <m:r>
              <w:rPr>
                <w:rFonts w:ascii="Cambria Math" w:hAnsi="Cambria Math"/>
              </w:rPr>
              <m:t>n</m:t>
            </m:r>
          </m:sup>
        </m:sSubSup>
      </m:oMath>
      <w:r>
        <w:t xml:space="preserve"> represents code-to-person uptake, attribution, feedback, or recommendation. These two blocks need not be transposes of each other in a genuinely directed model.</w:t>
      </w:r>
      <w:commentRangeEnd w:id="37"/>
      <w:r>
        <w:rPr>
          <w:rStyle w:val="CommentReference"/>
          <w:sz w:val="24"/>
          <w:szCs w:val="24"/>
        </w:rPr>
        <w:commentReference w:id="37"/>
      </w:r>
    </w:p>
    <w:p w14:paraId="05E77EC4" w14:textId="77777777" w:rsidR="001A2697" w:rsidRDefault="00000000">
      <w:pPr>
        <w:pStyle w:val="BodyText"/>
      </w:pPr>
      <w:r>
        <w:t>For temporal analysis, define</w:t>
      </w:r>
    </w:p>
    <w:p w14:paraId="1CF6D695"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γ</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t</m:t>
                    </m:r>
                    <m:r>
                      <m:rPr>
                        <m:sty m:val="p"/>
                      </m:rPr>
                      <w:rPr>
                        <w:rFonts w:ascii="Cambria Math" w:hAnsi="Cambria Math"/>
                      </w:rPr>
                      <m:t>)</m:t>
                    </m:r>
                  </m:e>
                </m:mr>
                <m:mr>
                  <m:e>
                    <m:r>
                      <w:rPr>
                        <w:rFonts w:ascii="Cambria Math" w:hAnsi="Cambria Math"/>
                      </w:rPr>
                      <m:t>γ</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e>
                  <m:e>
                    <m:r>
                      <w:rPr>
                        <w:rFonts w:ascii="Cambria Math" w:hAnsi="Cambria Math"/>
                      </w:rPr>
                      <m:t>β</m:t>
                    </m:r>
                    <m:acc>
                      <m:accPr>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t</m:t>
                    </m:r>
                    <m:r>
                      <m:rPr>
                        <m:sty m:val="p"/>
                      </m:rPr>
                      <w:rPr>
                        <w:rFonts w:ascii="Cambria Math" w:hAnsi="Cambria Math"/>
                      </w:rPr>
                      <m:t>)</m:t>
                    </m:r>
                  </m:e>
                </m:mr>
              </m:m>
            </m:e>
          </m:d>
          <m:r>
            <m:rPr>
              <m:sty m:val="p"/>
            </m:rPr>
            <w:rPr>
              <w:rFonts w:ascii="Cambria Math" w:hAnsi="Cambria Math"/>
            </w:rPr>
            <m:t>.</m:t>
          </m:r>
        </m:oMath>
      </m:oMathPara>
    </w:p>
    <w:p w14:paraId="4492E081" w14:textId="77777777" w:rsidR="001A2697" w:rsidRDefault="00000000">
      <w:pPr>
        <w:pStyle w:val="FirstParagraph"/>
      </w:pPr>
      <w:r>
        <w:t>Temporal change can be studied using</w:t>
      </w:r>
    </w:p>
    <w:p w14:paraId="51BB8E8D" w14:textId="77777777" w:rsidR="001A2697" w:rsidRDefault="00000000">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m:oMathPara>
    </w:p>
    <w:p w14:paraId="2358A153" w14:textId="77777777" w:rsidR="001A2697" w:rsidRDefault="00000000">
      <w:pPr>
        <w:pStyle w:val="FirstParagraph"/>
      </w:pPr>
      <w:commentRangeStart w:id="38"/>
      <w:r>
        <w:t xml:space="preserve">or by distances such as Frobenius distance, spectral distance, graph edit distance, or permutation-tested group/time contrasts. Cross-time comparisons require a declared normalization policy. A global denominator preserves information about absolute intensity </w:t>
      </w:r>
      <w:r>
        <w:lastRenderedPageBreak/>
        <w:t>changes, while within-time normalization emphasizes relative structural changes and can hide changes in overall magnitude.</w:t>
      </w:r>
      <w:commentRangeEnd w:id="38"/>
      <w:r>
        <w:rPr>
          <w:rStyle w:val="CommentReference"/>
          <w:sz w:val="24"/>
          <w:szCs w:val="24"/>
        </w:rPr>
        <w:commentReference w:id="38"/>
      </w:r>
    </w:p>
    <w:p w14:paraId="1A31A86C" w14:textId="77777777" w:rsidR="001A2697" w:rsidRDefault="00000000">
      <w:pPr>
        <w:pStyle w:val="Heading2"/>
      </w:pPr>
      <w:bookmarkStart w:id="39" w:name="failure-modes-and-counterexamples"/>
      <w:bookmarkEnd w:id="34"/>
      <w:r>
        <w:t>Failure Modes and Counterexamples</w:t>
      </w:r>
    </w:p>
    <w:p w14:paraId="7E1704B5" w14:textId="77777777" w:rsidR="001A2697" w:rsidRDefault="00000000">
      <w:pPr>
        <w:pStyle w:val="FirstParagraph"/>
      </w:pPr>
      <w:r>
        <w:rPr>
          <w:b/>
          <w:bCs/>
        </w:rPr>
        <w:t>Example 1 (Projection error).</w:t>
      </w:r>
      <w:r>
        <w:t xml:space="preserve"> If a researcher places person nodes from an SNA graph onto a previously computed ENA unit space and interprets person-code distances as distances from a common model, the interpretation is invalid. The coordinates were not jointly estimated from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w:t>
      </w:r>
    </w:p>
    <w:p w14:paraId="541C8CE9" w14:textId="77777777" w:rsidR="001A2697" w:rsidRDefault="00000000">
      <w:pPr>
        <w:pStyle w:val="BodyText"/>
      </w:pPr>
      <w:r>
        <w:rPr>
          <w:b/>
          <w:bCs/>
        </w:rPr>
        <w:t>Example 2 (Layer dominance).</w:t>
      </w:r>
      <w:r>
        <w:t xml:space="preserve"> If </w:t>
      </w:r>
      <m:oMath>
        <m:r>
          <w:rPr>
            <w:rFonts w:ascii="Cambria Math" w:hAnsi="Cambria Math"/>
          </w:rPr>
          <m:t>S</m:t>
        </m:r>
      </m:oMath>
      <w:r>
        <w:t xml:space="preserve"> contains counts in the hundreds while </w:t>
      </w:r>
      <m:oMath>
        <m:r>
          <w:rPr>
            <w:rFonts w:ascii="Cambria Math" w:hAnsi="Cambria Math"/>
          </w:rPr>
          <m:t>W</m:t>
        </m:r>
      </m:oMath>
      <w:r>
        <w:t xml:space="preserve"> and </w:t>
      </w:r>
      <m:oMath>
        <m:r>
          <w:rPr>
            <w:rFonts w:ascii="Cambria Math" w:hAnsi="Cambria Math"/>
          </w:rPr>
          <m:t>B</m:t>
        </m:r>
      </m:oMath>
      <w:r>
        <w:t xml:space="preserve"> contain binary values, then centrality or layout on the unnormalized matrix is dominated by the social layer. This is a scale artifact, not a substantive social-epistemic finding.</w:t>
      </w:r>
    </w:p>
    <w:p w14:paraId="6656BBE8" w14:textId="77777777" w:rsidR="001A2697" w:rsidRDefault="00000000">
      <w:pPr>
        <w:pStyle w:val="BodyText"/>
      </w:pPr>
      <w:r>
        <w:rPr>
          <w:b/>
          <w:bCs/>
        </w:rPr>
        <w:t>Example 3 (Coding unreliability).</w:t>
      </w:r>
      <w:r>
        <w:t xml:space="preserve"> If code assignments are unstable, then </w:t>
      </w:r>
      <m:oMath>
        <m:r>
          <w:rPr>
            <w:rFonts w:ascii="Cambria Math" w:hAnsi="Cambria Math"/>
          </w:rPr>
          <m:t>W</m:t>
        </m:r>
      </m:oMath>
      <w:r>
        <w:t xml:space="preserve">, </w:t>
      </w:r>
      <m:oMath>
        <m:r>
          <w:rPr>
            <w:rFonts w:ascii="Cambria Math" w:hAnsi="Cambria Math"/>
          </w:rPr>
          <m:t>B</m:t>
        </m:r>
      </m:oMath>
      <w:r>
        <w:t xml:space="preserve">, and </w:t>
      </w:r>
      <m:oMath>
        <m:r>
          <w:rPr>
            <w:rFonts w:ascii="Cambria Math" w:hAnsi="Cambria Math"/>
          </w:rPr>
          <m:t>G</m:t>
        </m:r>
      </m:oMath>
      <w:r>
        <w:t xml:space="preserve"> inherit that instability. A formally valid matrix can still be empirically unreliable.</w:t>
      </w:r>
    </w:p>
    <w:p w14:paraId="28739763" w14:textId="77777777" w:rsidR="001A2697" w:rsidRDefault="00000000">
      <w:pPr>
        <w:pStyle w:val="BodyText"/>
      </w:pPr>
      <w:r>
        <w:rPr>
          <w:b/>
          <w:bCs/>
        </w:rPr>
        <w:t>Example 4 (Attribution error).</w:t>
      </w:r>
      <w:r>
        <w:t xml:space="preserve"> If several learners participate in the same window, assigning every code or code pair in that window to every participant can overstate individual contribution. Such estimates should be labeled association or exposure unless person-specific coding evidence is available.</w:t>
      </w:r>
    </w:p>
    <w:p w14:paraId="75837E37" w14:textId="77777777" w:rsidR="001A2697" w:rsidRDefault="00000000">
      <w:pPr>
        <w:pStyle w:val="Heading2"/>
      </w:pPr>
      <w:bookmarkStart w:id="40" w:name="statistical-validation-framework"/>
      <w:bookmarkEnd w:id="39"/>
      <w:r>
        <w:t>Statistical Validation Framework</w:t>
      </w:r>
    </w:p>
    <w:p w14:paraId="508DE83C" w14:textId="77777777" w:rsidR="001A2697" w:rsidRDefault="00000000">
      <w:pPr>
        <w:pStyle w:val="FirstParagraph"/>
      </w:pPr>
      <w:r>
        <w:t>A publication-grade SENA study should report:</w:t>
      </w:r>
    </w:p>
    <w:p w14:paraId="6F1320FB" w14:textId="77777777" w:rsidR="001A2697" w:rsidRDefault="00000000">
      <w:pPr>
        <w:pStyle w:val="Compact"/>
        <w:numPr>
          <w:ilvl w:val="0"/>
          <w:numId w:val="5"/>
        </w:numPr>
      </w:pPr>
      <w:r>
        <w:t>the data contract: persons, interactions, windows/stanzas, coded segments, and codebook;</w:t>
      </w:r>
    </w:p>
    <w:p w14:paraId="4BE53F8F" w14:textId="77777777" w:rsidR="001A2697" w:rsidRDefault="00000000">
      <w:pPr>
        <w:pStyle w:val="Compact"/>
        <w:numPr>
          <w:ilvl w:val="0"/>
          <w:numId w:val="5"/>
        </w:numPr>
      </w:pPr>
      <w:r>
        <w:t xml:space="preserve">exact formulas for </w:t>
      </w:r>
      <m:oMath>
        <m:r>
          <w:rPr>
            <w:rFonts w:ascii="Cambria Math" w:hAnsi="Cambria Math"/>
          </w:rPr>
          <m:t>S</m:t>
        </m:r>
      </m:oMath>
      <w:r>
        <w:t xml:space="preserve">, </w:t>
      </w:r>
      <m:oMath>
        <m:r>
          <w:rPr>
            <w:rFonts w:ascii="Cambria Math" w:hAnsi="Cambria Math"/>
          </w:rPr>
          <m:t>W</m:t>
        </m:r>
      </m:oMath>
      <w:r>
        <w:t xml:space="preserve">, </w:t>
      </w:r>
      <m:oMath>
        <m:r>
          <w:rPr>
            <w:rFonts w:ascii="Cambria Math" w:hAnsi="Cambria Math"/>
          </w:rPr>
          <m:t>B</m:t>
        </m:r>
      </m:oMath>
      <w:r>
        <w:t xml:space="preserve">, and, if used, </w:t>
      </w:r>
      <m:oMath>
        <m:r>
          <w:rPr>
            <w:rFonts w:ascii="Cambria Math" w:hAnsi="Cambria Math"/>
          </w:rPr>
          <m:t>G</m:t>
        </m:r>
      </m:oMath>
      <w:r>
        <w:t>;</w:t>
      </w:r>
    </w:p>
    <w:p w14:paraId="34C42CE3" w14:textId="77777777" w:rsidR="001A2697" w:rsidRDefault="00000000">
      <w:pPr>
        <w:pStyle w:val="Compact"/>
        <w:numPr>
          <w:ilvl w:val="0"/>
          <w:numId w:val="5"/>
        </w:numPr>
      </w:pPr>
      <w:r>
        <w:t>the normalization rule;</w:t>
      </w:r>
    </w:p>
    <w:p w14:paraId="64FAD56E" w14:textId="77777777" w:rsidR="001A2697" w:rsidRDefault="00000000">
      <w:pPr>
        <w:pStyle w:val="Compact"/>
        <w:numPr>
          <w:ilvl w:val="0"/>
          <w:numId w:val="5"/>
        </w:numPr>
      </w:pPr>
      <w:r>
        <w:t xml:space="preserve">sensitivity analyses over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oMath>
      <w:r>
        <w:t>;</w:t>
      </w:r>
    </w:p>
    <w:p w14:paraId="05DADC6B" w14:textId="77777777" w:rsidR="001A2697" w:rsidRDefault="00000000">
      <w:pPr>
        <w:pStyle w:val="Compact"/>
        <w:numPr>
          <w:ilvl w:val="0"/>
          <w:numId w:val="5"/>
        </w:numPr>
      </w:pPr>
      <w:r>
        <w:t xml:space="preserve">the embedding operator </w:t>
      </w:r>
      <m:oMath>
        <m:r>
          <m:rPr>
            <m:sty m:val="p"/>
          </m:rPr>
          <w:rPr>
            <w:rFonts w:ascii="Cambria Math" w:hAnsi="Cambria Math"/>
          </w:rPr>
          <m:t>Φ</m:t>
        </m:r>
      </m:oMath>
      <w:r>
        <w:t>, including random seed if stochastic;</w:t>
      </w:r>
    </w:p>
    <w:p w14:paraId="3846A739" w14:textId="77777777" w:rsidR="001A2697" w:rsidRDefault="00000000">
      <w:pPr>
        <w:pStyle w:val="Compact"/>
        <w:numPr>
          <w:ilvl w:val="0"/>
          <w:numId w:val="5"/>
        </w:numPr>
      </w:pPr>
      <w:r>
        <w:t>coding reliability or human-reviewed AI coding procedures;</w:t>
      </w:r>
    </w:p>
    <w:p w14:paraId="098A11F3" w14:textId="77777777" w:rsidR="001A2697" w:rsidRDefault="00000000">
      <w:pPr>
        <w:pStyle w:val="Compact"/>
        <w:numPr>
          <w:ilvl w:val="0"/>
          <w:numId w:val="5"/>
        </w:numPr>
      </w:pPr>
      <w:r>
        <w:t>evidence traceability from each edge to source records;</w:t>
      </w:r>
    </w:p>
    <w:p w14:paraId="10DF3B65" w14:textId="77777777" w:rsidR="001A2697" w:rsidRDefault="00000000">
      <w:pPr>
        <w:pStyle w:val="Compact"/>
        <w:numPr>
          <w:ilvl w:val="0"/>
          <w:numId w:val="5"/>
        </w:numPr>
      </w:pPr>
      <w:r>
        <w:t>null models or resampling tests for group and temporal claims.</w:t>
      </w:r>
    </w:p>
    <w:p w14:paraId="5EF65A4C" w14:textId="77777777" w:rsidR="001A2697" w:rsidRDefault="00000000">
      <w:pPr>
        <w:pStyle w:val="FirstParagraph"/>
      </w:pPr>
      <w:commentRangeStart w:id="41"/>
      <w:r>
        <w:t>The following claim-to-validation table makes the validation requirement explicit.</w:t>
      </w:r>
      <w:commentRangeEnd w:id="41"/>
      <w:r>
        <w:rPr>
          <w:rStyle w:val="CommentReference"/>
          <w:sz w:val="24"/>
          <w:szCs w:val="24"/>
        </w:rPr>
        <w:commentReference w:id="41"/>
      </w:r>
    </w:p>
    <w:tbl>
      <w:tblPr>
        <w:tblStyle w:val="Table"/>
        <w:tblW w:w="5000" w:type="pct"/>
        <w:tblLayout w:type="fixed"/>
        <w:tblLook w:val="0020" w:firstRow="1" w:lastRow="0" w:firstColumn="0" w:lastColumn="0" w:noHBand="0" w:noVBand="0"/>
      </w:tblPr>
      <w:tblGrid>
        <w:gridCol w:w="2394"/>
        <w:gridCol w:w="2394"/>
        <w:gridCol w:w="2394"/>
        <w:gridCol w:w="2394"/>
      </w:tblGrid>
      <w:tr w:rsidR="001A2697" w14:paraId="5105456E" w14:textId="77777777" w:rsidTr="001A2697">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F2EFD3" w14:textId="77777777" w:rsidR="001A2697" w:rsidRDefault="00000000">
            <w:pPr>
              <w:pStyle w:val="Compact"/>
            </w:pPr>
            <w:r>
              <w:t>Claim type</w:t>
            </w:r>
          </w:p>
        </w:tc>
        <w:tc>
          <w:tcPr>
            <w:tcW w:w="1980" w:type="dxa"/>
          </w:tcPr>
          <w:p w14:paraId="21E73FCE" w14:textId="77777777" w:rsidR="001A2697" w:rsidRDefault="00000000">
            <w:pPr>
              <w:pStyle w:val="Compact"/>
            </w:pPr>
            <w:r>
              <w:t>Required data</w:t>
            </w:r>
          </w:p>
        </w:tc>
        <w:tc>
          <w:tcPr>
            <w:tcW w:w="1980" w:type="dxa"/>
          </w:tcPr>
          <w:p w14:paraId="3F87869F" w14:textId="77777777" w:rsidR="001A2697" w:rsidRDefault="00000000">
            <w:pPr>
              <w:pStyle w:val="Compact"/>
            </w:pPr>
            <w:r>
              <w:t>Matrix or statistic</w:t>
            </w:r>
          </w:p>
        </w:tc>
        <w:tc>
          <w:tcPr>
            <w:tcW w:w="1980" w:type="dxa"/>
          </w:tcPr>
          <w:p w14:paraId="4D4451DC" w14:textId="77777777" w:rsidR="001A2697" w:rsidRDefault="00000000">
            <w:pPr>
              <w:pStyle w:val="Compact"/>
            </w:pPr>
            <w:r>
              <w:t>Suitable validation</w:t>
            </w:r>
          </w:p>
        </w:tc>
      </w:tr>
      <w:tr w:rsidR="001A2697" w14:paraId="10658635" w14:textId="77777777">
        <w:tc>
          <w:tcPr>
            <w:tcW w:w="1980" w:type="dxa"/>
          </w:tcPr>
          <w:p w14:paraId="52456500" w14:textId="77777777" w:rsidR="001A2697" w:rsidRDefault="00000000">
            <w:pPr>
              <w:pStyle w:val="Compact"/>
            </w:pPr>
            <w:r>
              <w:t>Person used a code</w:t>
            </w:r>
          </w:p>
        </w:tc>
        <w:tc>
          <w:tcPr>
            <w:tcW w:w="1980" w:type="dxa"/>
          </w:tcPr>
          <w:p w14:paraId="4B409B3F" w14:textId="77777777" w:rsidR="001A2697" w:rsidRDefault="00000000">
            <w:pPr>
              <w:pStyle w:val="Compact"/>
            </w:pPr>
            <w:r>
              <w:t>Person-specific coded records</w:t>
            </w:r>
          </w:p>
        </w:tc>
        <w:tc>
          <w:tcPr>
            <w:tcW w:w="1980" w:type="dxa"/>
          </w:tcPr>
          <w:p w14:paraId="0890AF75" w14:textId="77777777" w:rsidR="001A2697" w:rsidRDefault="00000000">
            <w:pPr>
              <w:pStyle w:val="Compact"/>
            </w:pPr>
            <m:oMath>
              <m:sSub>
                <m:sSubPr>
                  <m:ctrlPr>
                    <w:rPr>
                      <w:rFonts w:ascii="Cambria Math" w:hAnsi="Cambria Math"/>
                    </w:rPr>
                  </m:ctrlPr>
                </m:sSubPr>
                <m:e>
                  <m:r>
                    <w:rPr>
                      <w:rFonts w:ascii="Cambria Math" w:hAnsi="Cambria Math"/>
                    </w:rPr>
                    <m:t>B</m:t>
                  </m:r>
                </m:e>
                <m:sub>
                  <m:r>
                    <w:rPr>
                      <w:rFonts w:ascii="Cambria Math" w:hAnsi="Cambria Math"/>
                    </w:rPr>
                    <m:t>ia</m:t>
                  </m:r>
                </m:sub>
              </m:sSub>
            </m:oMath>
            <w:r>
              <w:t xml:space="preserve"> or </w:t>
            </w:r>
            <m:oMath>
              <m:sSub>
                <m:sSubPr>
                  <m:ctrlPr>
                    <w:rPr>
                      <w:rFonts w:ascii="Cambria Math" w:hAnsi="Cambria Math"/>
                    </w:rPr>
                  </m:ctrlPr>
                </m:sSubPr>
                <m:e>
                  <m:r>
                    <w:rPr>
                      <w:rFonts w:ascii="Cambria Math" w:hAnsi="Cambria Math"/>
                    </w:rPr>
                    <m:t>X</m:t>
                  </m:r>
                </m:e>
                <m:sub>
                  <m:r>
                    <w:rPr>
                      <w:rFonts w:ascii="Cambria Math" w:hAnsi="Cambria Math"/>
                    </w:rPr>
                    <m:t>ita</m:t>
                  </m:r>
                </m:sub>
              </m:sSub>
            </m:oMath>
          </w:p>
        </w:tc>
        <w:tc>
          <w:tcPr>
            <w:tcW w:w="1980" w:type="dxa"/>
          </w:tcPr>
          <w:p w14:paraId="31A7E0BD" w14:textId="77777777" w:rsidR="001A2697" w:rsidRDefault="00000000">
            <w:pPr>
              <w:pStyle w:val="Compact"/>
            </w:pPr>
            <w:r>
              <w:t>audit trail to coded segments</w:t>
            </w:r>
          </w:p>
        </w:tc>
      </w:tr>
      <w:tr w:rsidR="001A2697" w14:paraId="5BFF135D" w14:textId="77777777">
        <w:tc>
          <w:tcPr>
            <w:tcW w:w="1980" w:type="dxa"/>
          </w:tcPr>
          <w:p w14:paraId="21DA670A" w14:textId="77777777" w:rsidR="001A2697" w:rsidRDefault="00000000">
            <w:pPr>
              <w:pStyle w:val="Compact"/>
            </w:pPr>
            <w:r>
              <w:t>Person supported a code-code connection</w:t>
            </w:r>
          </w:p>
        </w:tc>
        <w:tc>
          <w:tcPr>
            <w:tcW w:w="1980" w:type="dxa"/>
          </w:tcPr>
          <w:p w14:paraId="52AF9E8F" w14:textId="77777777" w:rsidR="001A2697" w:rsidRDefault="00000000">
            <w:pPr>
              <w:pStyle w:val="Compact"/>
            </w:pPr>
            <w:r>
              <w:t>Person-specific code-pair evidence</w:t>
            </w:r>
          </w:p>
        </w:tc>
        <w:tc>
          <w:tcPr>
            <w:tcW w:w="1980" w:type="dxa"/>
          </w:tcPr>
          <w:p w14:paraId="3662A912" w14:textId="77777777" w:rsidR="001A2697" w:rsidRDefault="00000000">
            <w:pPr>
              <w:pStyle w:val="Compact"/>
            </w:pPr>
            <m:oMathPara>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ab</m:t>
                    </m:r>
                  </m:sub>
                </m:sSub>
              </m:oMath>
            </m:oMathPara>
          </w:p>
        </w:tc>
        <w:tc>
          <w:tcPr>
            <w:tcW w:w="1980" w:type="dxa"/>
          </w:tcPr>
          <w:p w14:paraId="01FCD835" w14:textId="77777777" w:rsidR="001A2697" w:rsidRDefault="00000000">
            <w:pPr>
              <w:pStyle w:val="Compact"/>
            </w:pPr>
            <w:r>
              <w:t>attribution audit or permutation over speaker labels</w:t>
            </w:r>
          </w:p>
        </w:tc>
      </w:tr>
      <w:tr w:rsidR="001A2697" w14:paraId="7E526511" w14:textId="77777777">
        <w:tc>
          <w:tcPr>
            <w:tcW w:w="1980" w:type="dxa"/>
          </w:tcPr>
          <w:p w14:paraId="6396B3C6" w14:textId="77777777" w:rsidR="001A2697" w:rsidRDefault="00000000">
            <w:pPr>
              <w:pStyle w:val="Compact"/>
            </w:pPr>
            <w:r>
              <w:t xml:space="preserve">Group has stronger </w:t>
            </w:r>
            <w:r>
              <w:lastRenderedPageBreak/>
              <w:t>epistemic structure</w:t>
            </w:r>
          </w:p>
        </w:tc>
        <w:tc>
          <w:tcPr>
            <w:tcW w:w="1980" w:type="dxa"/>
          </w:tcPr>
          <w:p w14:paraId="277B8D5F" w14:textId="77777777" w:rsidR="001A2697" w:rsidRDefault="00000000">
            <w:pPr>
              <w:pStyle w:val="Compact"/>
            </w:pPr>
            <w:r>
              <w:lastRenderedPageBreak/>
              <w:t xml:space="preserve">comparable coded </w:t>
            </w:r>
            <w:r>
              <w:lastRenderedPageBreak/>
              <w:t>windows by group</w:t>
            </w:r>
          </w:p>
        </w:tc>
        <w:tc>
          <w:tcPr>
            <w:tcW w:w="1980" w:type="dxa"/>
          </w:tcPr>
          <w:p w14:paraId="49EB3234" w14:textId="77777777" w:rsidR="001A2697" w:rsidRDefault="00000000">
            <w:pPr>
              <w:pStyle w:val="Compact"/>
            </w:pPr>
            <m:oMath>
              <m:r>
                <w:rPr>
                  <w:rFonts w:ascii="Cambria Math" w:hAnsi="Cambria Math"/>
                </w:rPr>
                <w:lastRenderedPageBreak/>
                <m:t>W</m:t>
              </m:r>
            </m:oMath>
            <w:r>
              <w:t xml:space="preserve"> or projected </w:t>
            </w:r>
            <w:r>
              <w:lastRenderedPageBreak/>
              <w:t>ENA/SENA summaries</w:t>
            </w:r>
          </w:p>
        </w:tc>
        <w:tc>
          <w:tcPr>
            <w:tcW w:w="1980" w:type="dxa"/>
          </w:tcPr>
          <w:p w14:paraId="5EF1D3AC" w14:textId="77777777" w:rsidR="001A2697" w:rsidRDefault="00000000">
            <w:pPr>
              <w:pStyle w:val="Compact"/>
            </w:pPr>
            <w:r>
              <w:lastRenderedPageBreak/>
              <w:t xml:space="preserve">group-label </w:t>
            </w:r>
            <w:r>
              <w:lastRenderedPageBreak/>
              <w:t>permutation or bootstrap over windows</w:t>
            </w:r>
          </w:p>
        </w:tc>
      </w:tr>
      <w:tr w:rsidR="001A2697" w14:paraId="133502E8" w14:textId="77777777">
        <w:tc>
          <w:tcPr>
            <w:tcW w:w="1980" w:type="dxa"/>
          </w:tcPr>
          <w:p w14:paraId="39FC397C" w14:textId="77777777" w:rsidR="001A2697" w:rsidRDefault="00000000">
            <w:pPr>
              <w:pStyle w:val="Compact"/>
            </w:pPr>
            <w:r>
              <w:lastRenderedPageBreak/>
              <w:t>Bridge strength differs by group</w:t>
            </w:r>
          </w:p>
        </w:tc>
        <w:tc>
          <w:tcPr>
            <w:tcW w:w="1980" w:type="dxa"/>
          </w:tcPr>
          <w:p w14:paraId="1C360AB6" w14:textId="77777777" w:rsidR="001A2697" w:rsidRDefault="00000000">
            <w:pPr>
              <w:pStyle w:val="Compact"/>
            </w:pPr>
            <w:r>
              <w:t>person-code associations</w:t>
            </w:r>
          </w:p>
        </w:tc>
        <w:tc>
          <w:tcPr>
            <w:tcW w:w="1980" w:type="dxa"/>
          </w:tcPr>
          <w:p w14:paraId="6045B897" w14:textId="77777777" w:rsidR="001A2697" w:rsidRDefault="00000000">
            <w:pPr>
              <w:pStyle w:val="Compact"/>
            </w:pPr>
            <m:oMath>
              <m:r>
                <w:rPr>
                  <w:rFonts w:ascii="Cambria Math" w:hAnsi="Cambria Math"/>
                </w:rPr>
                <m:t>B</m:t>
              </m:r>
            </m:oMath>
            <w:r>
              <w:t xml:space="preserve"> summaries</w:t>
            </w:r>
          </w:p>
        </w:tc>
        <w:tc>
          <w:tcPr>
            <w:tcW w:w="1980" w:type="dxa"/>
          </w:tcPr>
          <w:p w14:paraId="6DC755D7" w14:textId="77777777" w:rsidR="001A2697" w:rsidRDefault="00000000">
            <w:pPr>
              <w:pStyle w:val="Compact"/>
            </w:pPr>
            <w:r>
              <w:t>bipartite null model or group permutation</w:t>
            </w:r>
          </w:p>
        </w:tc>
      </w:tr>
      <w:tr w:rsidR="001A2697" w14:paraId="575C421D" w14:textId="77777777">
        <w:tc>
          <w:tcPr>
            <w:tcW w:w="1980" w:type="dxa"/>
          </w:tcPr>
          <w:p w14:paraId="73BD4409" w14:textId="77777777" w:rsidR="001A2697" w:rsidRDefault="00000000">
            <w:pPr>
              <w:pStyle w:val="Compact"/>
            </w:pPr>
            <w:r>
              <w:t>Temporal change is meaningful</w:t>
            </w:r>
          </w:p>
        </w:tc>
        <w:tc>
          <w:tcPr>
            <w:tcW w:w="1980" w:type="dxa"/>
          </w:tcPr>
          <w:p w14:paraId="3EE81198" w14:textId="77777777" w:rsidR="001A2697" w:rsidRDefault="00000000">
            <w:pPr>
              <w:pStyle w:val="Compact"/>
            </w:pPr>
            <w:r>
              <w:t>comparable time snapshots</w:t>
            </w:r>
          </w:p>
        </w:tc>
        <w:tc>
          <w:tcPr>
            <w:tcW w:w="1980" w:type="dxa"/>
          </w:tcPr>
          <w:p w14:paraId="67F7C584" w14:textId="77777777" w:rsidR="001A2697" w:rsidRDefault="00000000">
            <w:pPr>
              <w:pStyle w:val="Compact"/>
            </w:pPr>
            <m:oMath>
              <m:r>
                <m:rPr>
                  <m:sty m:val="p"/>
                </m:rPr>
                <w:rPr>
                  <w:rFonts w:ascii="Cambria Math" w:hAnsi="Cambria Math"/>
                </w:rPr>
                <m:t>Δ</m:t>
              </m:r>
              <m:r>
                <w:rPr>
                  <w:rFonts w:ascii="Cambria Math" w:hAnsi="Cambria Math"/>
                </w:rPr>
                <m:t>A</m:t>
              </m:r>
            </m:oMath>
            <w:r>
              <w:t xml:space="preserve"> or graph distances</w:t>
            </w:r>
          </w:p>
        </w:tc>
        <w:tc>
          <w:tcPr>
            <w:tcW w:w="1980" w:type="dxa"/>
          </w:tcPr>
          <w:p w14:paraId="276135DE" w14:textId="77777777" w:rsidR="001A2697" w:rsidRDefault="00000000">
            <w:pPr>
              <w:pStyle w:val="Compact"/>
            </w:pPr>
            <w:r>
              <w:t>temporal-band permutation or bootstrap</w:t>
            </w:r>
          </w:p>
        </w:tc>
      </w:tr>
      <w:tr w:rsidR="001A2697" w14:paraId="5B5FB467" w14:textId="77777777">
        <w:tc>
          <w:tcPr>
            <w:tcW w:w="1980" w:type="dxa"/>
          </w:tcPr>
          <w:p w14:paraId="096142C8" w14:textId="77777777" w:rsidR="001A2697" w:rsidRDefault="00000000">
            <w:pPr>
              <w:pStyle w:val="Compact"/>
            </w:pPr>
            <w:r>
              <w:t>Centrality dominance is substantive</w:t>
            </w:r>
          </w:p>
        </w:tc>
        <w:tc>
          <w:tcPr>
            <w:tcW w:w="1980" w:type="dxa"/>
          </w:tcPr>
          <w:p w14:paraId="734BA9E0" w14:textId="77777777" w:rsidR="001A2697" w:rsidRDefault="00000000">
            <w:pPr>
              <w:pStyle w:val="Compact"/>
            </w:pPr>
            <w:r>
              <w:t>stable layer scaling and typed interpretation</w:t>
            </w:r>
          </w:p>
        </w:tc>
        <w:tc>
          <w:tcPr>
            <w:tcW w:w="1980" w:type="dxa"/>
          </w:tcPr>
          <w:p w14:paraId="38C0F18F" w14:textId="77777777" w:rsidR="001A2697" w:rsidRDefault="00000000">
            <w:pPr>
              <w:pStyle w:val="Compact"/>
            </w:pPr>
            <w:r>
              <w:t>typed centrality</w:t>
            </w:r>
          </w:p>
        </w:tc>
        <w:tc>
          <w:tcPr>
            <w:tcW w:w="1980" w:type="dxa"/>
          </w:tcPr>
          <w:p w14:paraId="5CFFC61A" w14:textId="77777777" w:rsidR="001A2697" w:rsidRDefault="00000000">
            <w:pPr>
              <w:pStyle w:val="Compact"/>
            </w:pPr>
            <w:r>
              <w:t>sensitivity over normalization and layer weights</w:t>
            </w:r>
          </w:p>
        </w:tc>
      </w:tr>
    </w:tbl>
    <w:p w14:paraId="0198AEE9" w14:textId="77777777" w:rsidR="001A2697" w:rsidRDefault="00000000">
      <w:pPr>
        <w:pStyle w:val="BodyText"/>
      </w:pPr>
      <w:r>
        <w:t>Useful null models include code-label shuffling within learners, social-edge rewiring with degree preservation, stanza membership shuffling within temporal bands, group-label permutation, and bootstrap resampling of windows.</w:t>
      </w:r>
    </w:p>
    <w:p w14:paraId="597ACBCD" w14:textId="77777777" w:rsidR="001A2697" w:rsidRDefault="00000000">
      <w:pPr>
        <w:pStyle w:val="Heading2"/>
      </w:pPr>
      <w:bookmarkStart w:id="42" w:name="discussion"/>
      <w:bookmarkEnd w:id="40"/>
      <w:r>
        <w:t>Discussion</w:t>
      </w:r>
    </w:p>
    <w:p w14:paraId="56E9694A" w14:textId="77777777" w:rsidR="001A2697" w:rsidRDefault="00000000">
      <w:pPr>
        <w:pStyle w:val="FirstParagraph"/>
      </w:pPr>
      <w:r>
        <w:t>The formal analysis supports the mathematical reasonableness of the SENA formula, but it also narrows the permissible interpretation. The formula does not magically convert SNA and ENA into one latent space. Rather, it constructs a joint typed graph. A shared coordinate system becomes meaningful only after a specified embedding or matrix factorization is applied to that joint graph.</w:t>
      </w:r>
    </w:p>
    <w:p w14:paraId="53791DD0" w14:textId="77777777" w:rsidR="001A2697" w:rsidRDefault="00000000">
      <w:pPr>
        <w:pStyle w:val="BodyText"/>
      </w:pPr>
      <w:r>
        <w:t>The most defensible theoretical language is therefore:</w:t>
      </w:r>
    </w:p>
    <w:p w14:paraId="68799DE9" w14:textId="77777777" w:rsidR="001A2697" w:rsidRDefault="00000000">
      <w:pPr>
        <w:pStyle w:val="BlockText"/>
      </w:pPr>
      <w:r>
        <w:t>SENA represents collaborative learning as a heterogeneous typed social-epistemic graph whose block-adjacency matrix combines person-person social ties, code-code epistemic co-occurrences, and person-code associations.</w:t>
      </w:r>
    </w:p>
    <w:p w14:paraId="1CABDC52" w14:textId="77777777" w:rsidR="001A2697" w:rsidRDefault="00000000">
      <w:pPr>
        <w:pStyle w:val="FirstParagraph"/>
      </w:pPr>
      <w:r>
        <w:t>This wording connects SENA to established mathematics while preserving its substantive contribution for learning analytics.</w:t>
      </w:r>
    </w:p>
    <w:p w14:paraId="0830061E" w14:textId="77777777" w:rsidR="001A2697" w:rsidRDefault="00000000">
      <w:pPr>
        <w:pStyle w:val="Heading2"/>
      </w:pPr>
      <w:bookmarkStart w:id="43" w:name="conclusion"/>
      <w:bookmarkEnd w:id="42"/>
      <w:r>
        <w:t>Conclusion</w:t>
      </w:r>
    </w:p>
    <w:p w14:paraId="35675596" w14:textId="77777777" w:rsidR="001A2697" w:rsidRDefault="00000000">
      <w:pPr>
        <w:pStyle w:val="FirstParagraph"/>
      </w:pPr>
      <w:r>
        <w:t>Under explicit dimensional, nonnegativity, symmetry, admissible-normalization, and typed-node conditions, the SENA fusion matrix</w:t>
      </w:r>
    </w:p>
    <w:p w14:paraId="584B272B" w14:textId="77777777" w:rsidR="001A2697"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acc>
                      <m:accPr>
                        <m:ctrlPr>
                          <w:rPr>
                            <w:rFonts w:ascii="Cambria Math" w:hAnsi="Cambria Math"/>
                          </w:rPr>
                        </m:ctrlPr>
                      </m:accPr>
                      <m:e>
                        <m:r>
                          <w:rPr>
                            <w:rFonts w:ascii="Cambria Math" w:hAnsi="Cambria Math"/>
                          </w:rPr>
                          <m:t>S</m:t>
                        </m:r>
                      </m:e>
                    </m:acc>
                  </m:e>
                  <m:e>
                    <m:r>
                      <w:rPr>
                        <w:rFonts w:ascii="Cambria Math" w:hAnsi="Cambria Math"/>
                      </w:rPr>
                      <m:t>γ</m:t>
                    </m:r>
                    <m:acc>
                      <m:accPr>
                        <m:ctrlPr>
                          <w:rPr>
                            <w:rFonts w:ascii="Cambria Math" w:hAnsi="Cambria Math"/>
                          </w:rPr>
                        </m:ctrlPr>
                      </m:accPr>
                      <m:e>
                        <m:r>
                          <w:rPr>
                            <w:rFonts w:ascii="Cambria Math" w:hAnsi="Cambria Math"/>
                          </w:rPr>
                          <m:t>B</m:t>
                        </m:r>
                      </m:e>
                    </m:acc>
                  </m:e>
                </m:mr>
                <m:mr>
                  <m:e>
                    <m:r>
                      <w:rPr>
                        <w:rFonts w:ascii="Cambria Math" w:hAnsi="Cambria Math"/>
                      </w:rPr>
                      <m:t>γ</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e>
                  <m:e>
                    <m:r>
                      <w:rPr>
                        <w:rFonts w:ascii="Cambria Math" w:hAnsi="Cambria Math"/>
                      </w:rPr>
                      <m:t>β</m:t>
                    </m:r>
                    <m:acc>
                      <m:accPr>
                        <m:ctrlPr>
                          <w:rPr>
                            <w:rFonts w:ascii="Cambria Math" w:hAnsi="Cambria Math"/>
                          </w:rPr>
                        </m:ctrlPr>
                      </m:accPr>
                      <m:e>
                        <m:r>
                          <w:rPr>
                            <w:rFonts w:ascii="Cambria Math" w:hAnsi="Cambria Math"/>
                          </w:rPr>
                          <m:t>W</m:t>
                        </m:r>
                      </m:e>
                    </m:acc>
                  </m:e>
                </m:mr>
              </m:m>
            </m:e>
          </m:d>
        </m:oMath>
      </m:oMathPara>
    </w:p>
    <w:p w14:paraId="562A87FE" w14:textId="77777777" w:rsidR="001A2697" w:rsidRDefault="00000000">
      <w:pPr>
        <w:pStyle w:val="FirstParagraph"/>
      </w:pPr>
      <w:commentRangeStart w:id="44"/>
      <w:r>
        <w:t xml:space="preserve">is a valid weighted typed adjacency matrix. Its graph Laplacian is positive semidefinite in the undirected case under the declared convention, boundary cases reduce to recognizable SNA, ENA-style co-occurrence, and bipartite submodels, and joint </w:t>
      </w:r>
      <w:r>
        <w:lastRenderedPageBreak/>
        <w:t xml:space="preserve">embeddings are mathematically permissible when they are computed from </w:t>
      </w:r>
      <m:oMath>
        <m:sSub>
          <m:sSubPr>
            <m:ctrlPr>
              <w:rPr>
                <w:rFonts w:ascii="Cambria Math" w:hAnsi="Cambria Math"/>
              </w:rPr>
            </m:ctrlPr>
          </m:sSubPr>
          <m:e>
            <m:r>
              <w:rPr>
                <w:rFonts w:ascii="Cambria Math" w:hAnsi="Cambria Math"/>
              </w:rPr>
              <m:t>A</m:t>
            </m:r>
          </m:e>
          <m:sub>
            <m:r>
              <m:rPr>
                <m:sty m:val="p"/>
              </m:rPr>
              <w:rPr>
                <w:rFonts w:ascii="Cambria Math" w:hAnsi="Cambria Math"/>
              </w:rPr>
              <m:t>fusion</m:t>
            </m:r>
          </m:sub>
        </m:sSub>
      </m:oMath>
      <w:r>
        <w:t xml:space="preserve"> itself. The formula becomes a rigorous research method only when matrix construction, admissible normalization, typed interpretation, embedding, statistical testing, attribution limits, and evidence traceability are fully specified.</w:t>
      </w:r>
      <w:commentRangeEnd w:id="44"/>
      <w:r>
        <w:rPr>
          <w:rStyle w:val="CommentReference"/>
          <w:sz w:val="24"/>
          <w:szCs w:val="24"/>
        </w:rPr>
        <w:commentReference w:id="44"/>
      </w:r>
    </w:p>
    <w:p w14:paraId="38B00047" w14:textId="77777777" w:rsidR="001A2697" w:rsidRDefault="00000000">
      <w:pPr>
        <w:pStyle w:val="Heading2"/>
      </w:pPr>
      <w:bookmarkStart w:id="45" w:name="references"/>
      <w:bookmarkEnd w:id="43"/>
      <w:commentRangeStart w:id="46"/>
      <w:r>
        <w:t>References</w:t>
      </w:r>
      <w:commentRangeEnd w:id="46"/>
      <w:r>
        <w:rPr>
          <w:rStyle w:val="CommentReference"/>
          <w:sz w:val="32"/>
          <w:szCs w:val="32"/>
        </w:rPr>
        <w:commentReference w:id="46"/>
      </w:r>
    </w:p>
    <w:p w14:paraId="530777F0" w14:textId="77777777" w:rsidR="001A2697" w:rsidRDefault="00000000">
      <w:pPr>
        <w:pStyle w:val="FirstParagraph"/>
      </w:pPr>
      <w:r>
        <w:t xml:space="preserve">Bowman, D. A., Swiecki, Z., Cai, Z., Eagan, B., Linder, R., Ruis, A. R., … &amp; Shaffer, D. W. (2021). The mathematical foundations of epistemic network analysis. In A. R. Ruis &amp; S. B. Lee (Eds.), </w:t>
      </w:r>
      <w:r>
        <w:rPr>
          <w:i/>
          <w:iCs/>
        </w:rPr>
        <w:t>Advances in Quantitative Ethnography</w:t>
      </w:r>
      <w:r>
        <w:t xml:space="preserve"> (pp. 91-105). Springer. https://doi.org/10.1007/978-3-030-67788-6_7</w:t>
      </w:r>
    </w:p>
    <w:p w14:paraId="60910B5A" w14:textId="77777777" w:rsidR="001A2697" w:rsidRDefault="00000000">
      <w:pPr>
        <w:pStyle w:val="BodyText"/>
      </w:pPr>
      <w:r>
        <w:t xml:space="preserve">Gasevic, D., Joksimovic, S., Eagan, B. R., &amp; Shaffer, D. W. (2019). SENS: Network analytics to combine social and cognitive perspectives of collaborative learning. </w:t>
      </w:r>
      <w:r>
        <w:rPr>
          <w:i/>
          <w:iCs/>
        </w:rPr>
        <w:t>Computers in Human Behavior, 92</w:t>
      </w:r>
      <w:r>
        <w:t>, 562-577. https://doi.org/10.1016/j.chb.2018.07.003</w:t>
      </w:r>
    </w:p>
    <w:p w14:paraId="376D5B61" w14:textId="77777777" w:rsidR="001A2697" w:rsidRDefault="00000000">
      <w:pPr>
        <w:pStyle w:val="BodyText"/>
      </w:pPr>
      <w:r>
        <w:t xml:space="preserve">Kivela, M., Arenas, A., Barthelemy, M., Gleeson, J. P., Moreno, Y., &amp; Porter, M. A. (2014). Multilayer networks. </w:t>
      </w:r>
      <w:r>
        <w:rPr>
          <w:i/>
          <w:iCs/>
        </w:rPr>
        <w:t>Journal of Complex Networks, 2</w:t>
      </w:r>
      <w:r>
        <w:t>(3), 203-271. https://doi.org/10.1093/comnet/cnu016</w:t>
      </w:r>
    </w:p>
    <w:p w14:paraId="7957705A" w14:textId="77777777" w:rsidR="001A2697" w:rsidRDefault="00000000">
      <w:pPr>
        <w:pStyle w:val="BodyText"/>
      </w:pPr>
      <w:r>
        <w:t xml:space="preserve">Mucha, P. J., Richardson, T., Macon, K., Porter, M. A., &amp; Onnela, J.-P. (2010). Community structure in time-dependent, multiscale, and multiplex networks. </w:t>
      </w:r>
      <w:r>
        <w:rPr>
          <w:i/>
          <w:iCs/>
        </w:rPr>
        <w:t>Science, 328</w:t>
      </w:r>
      <w:r>
        <w:t>(5980), 876-878. https://doi.org/10.1126/science.1184819</w:t>
      </w:r>
    </w:p>
    <w:p w14:paraId="2A7E1DEA" w14:textId="77777777" w:rsidR="001A2697" w:rsidRDefault="00000000">
      <w:pPr>
        <w:pStyle w:val="BodyText"/>
      </w:pPr>
      <w:r>
        <w:t xml:space="preserve">Shaffer, D. W., Collier, W., &amp; Ruis, A. R. (2016). A tutorial on epistemic network analysis: Analyzing the structure of connections in cognitive, social, and interaction data. </w:t>
      </w:r>
      <w:r>
        <w:rPr>
          <w:i/>
          <w:iCs/>
        </w:rPr>
        <w:t>Journal of Learning Analytics, 3</w:t>
      </w:r>
      <w:r>
        <w:t>(3), 9-45. https://doi.org/10.18608/jla.2016.33.3</w:t>
      </w:r>
    </w:p>
    <w:p w14:paraId="434E5F2B" w14:textId="77777777" w:rsidR="001A2697" w:rsidRDefault="00000000">
      <w:pPr>
        <w:pStyle w:val="BodyText"/>
      </w:pPr>
      <w:r>
        <w:t xml:space="preserve">Siebert-Evenstone, A., Arastoopour Irgens, G., Collier, W., Swiecki, Z., Ruis, A. R., &amp; Williamson Shaffer, D. (2017). In search of conversational grain size: Modelling semantic structure using moving stanza windows. </w:t>
      </w:r>
      <w:r>
        <w:rPr>
          <w:i/>
          <w:iCs/>
        </w:rPr>
        <w:t>Journal of Learning Analytics, 4</w:t>
      </w:r>
      <w:r>
        <w:t>(3), 123-139. https://doi.org/10.18608/jla.2017.43.7</w:t>
      </w:r>
    </w:p>
    <w:p w14:paraId="30A5C133" w14:textId="77777777" w:rsidR="001A2697" w:rsidRDefault="00000000">
      <w:pPr>
        <w:pStyle w:val="BodyText"/>
      </w:pPr>
      <w:r>
        <w:t xml:space="preserve">Sun, Y., &amp; Han, J. (2012). </w:t>
      </w:r>
      <w:r>
        <w:rPr>
          <w:i/>
          <w:iCs/>
        </w:rPr>
        <w:t>Mining Heterogeneous Information Networks: Principles and Methodologies</w:t>
      </w:r>
      <w:r>
        <w:t>. Morgan &amp; Claypool. https://doi.org/10.2200/S00433ED1V01Y201207DMK005</w:t>
      </w:r>
    </w:p>
    <w:p w14:paraId="61F18D6E" w14:textId="77777777" w:rsidR="001A2697" w:rsidRDefault="00000000">
      <w:pPr>
        <w:pStyle w:val="BodyText"/>
      </w:pPr>
      <w:r>
        <w:t xml:space="preserve">Swiecki, Z., &amp; Shaffer, D. W. (2020). iSENS: An integrated approach to combining epistemic and social network analyses. In V. Kovanovic, M. Scheffel, N. Pinkwart, &amp; K. Verbert (Eds.), </w:t>
      </w:r>
      <w:r>
        <w:rPr>
          <w:i/>
          <w:iCs/>
        </w:rPr>
        <w:t>LAK20 Conference Proceedings: Celebrating 10 Years of LAK: Shaping the Future of the Field</w:t>
      </w:r>
      <w:r>
        <w:t xml:space="preserve"> (pp. 305-313). Association for Computing Machinery. https://doi.org/10.1145/3375462.3375505</w:t>
      </w:r>
    </w:p>
    <w:p w14:paraId="0ACB8EE1" w14:textId="77777777" w:rsidR="001A2697" w:rsidRDefault="00000000">
      <w:pPr>
        <w:pStyle w:val="BodyText"/>
      </w:pPr>
      <w:r>
        <w:t xml:space="preserve">Wasserman, S., &amp; Faust, K. (1994). </w:t>
      </w:r>
      <w:r>
        <w:rPr>
          <w:i/>
          <w:iCs/>
        </w:rPr>
        <w:t>Social Network Analysis: Methods and Applications</w:t>
      </w:r>
      <w:r>
        <w:t>. Cambridge University Press.</w:t>
      </w:r>
      <w:bookmarkEnd w:id="1"/>
      <w:bookmarkEnd w:id="45"/>
    </w:p>
    <w:sectPr w:rsidR="001A2697">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odex Response" w:date="2026-06-08T01:29:00Z" w:initials="">
    <w:p w14:paraId="3E350004" w14:textId="77777777" w:rsidR="001A2697" w:rsidRDefault="00132A2C">
      <w:r>
        <w:rPr>
          <w:rStyle w:val="CommentReference"/>
        </w:rPr>
        <w:annotationRef/>
      </w:r>
      <w:r w:rsidR="00000000">
        <w:t>R19 missing citations: Reviewer found blank citation markers in the original. Response: Accepted. The revised text restores author-year citations in the introduction and related-context section. Status: addressed.</w:t>
      </w:r>
    </w:p>
  </w:comment>
  <w:comment w:id="5" w:author="Codex Response" w:date="2026-06-08T01:29:00Z" w:initials="">
    <w:p w14:paraId="124E6EBA" w14:textId="77777777" w:rsidR="001A2697" w:rsidRDefault="00132A2C">
      <w:r>
        <w:rPr>
          <w:rStyle w:val="CommentReference"/>
        </w:rPr>
        <w:annotationRef/>
      </w:r>
      <w:r w:rsidR="00000000">
        <w:t>R18 central claim scope: Reviewer asked us to condition the central claim on the added assumptions. Response: Accepted. The central claim now explicitly depends on declared construction, admissible normalization, and interpretation conventions. Status: addressed.</w:t>
      </w:r>
    </w:p>
  </w:comment>
  <w:comment w:id="8" w:author="Codex Response" w:date="2026-06-08T01:29:00Z" w:initials="">
    <w:p w14:paraId="65FA7DCE" w14:textId="77777777" w:rsidR="001A2697" w:rsidRDefault="00132A2C">
      <w:r>
        <w:rPr>
          <w:rStyle w:val="CommentReference"/>
        </w:rPr>
        <w:annotationRef/>
      </w:r>
      <w:r w:rsidR="00000000">
        <w:t>R1 terminology: Reviewer asked us to distinguish heterogeneous typed graph from strict multilayer/multiplex usage. Response: Accepted. The title, abstract, related-work section, and discussion now define SENA as a heterogeneous typed block-adjacency model; supra-adjacency is explicitly limited to a broad block-representation sense. Status: addressed.</w:t>
      </w:r>
    </w:p>
  </w:comment>
  <w:comment w:id="7" w:author="Codex Response" w:date="2026-06-08T01:29:00Z" w:initials="">
    <w:p w14:paraId="55B9366E" w14:textId="77777777" w:rsidR="001A2697" w:rsidRDefault="00132A2C">
      <w:r>
        <w:rPr>
          <w:rStyle w:val="CommentReference"/>
        </w:rPr>
        <w:annotationRef/>
      </w:r>
      <w:r w:rsidR="00000000">
        <w:t>R17 novelty claim: Reviewer found the novelty defensible but asked for sharper boundaries. Response: Accepted. The revised introduction and related-context sections now emphasize domain-specific formalization rather than invention of block matrices, multilayer graphs, or supra-adjacency notation. Status: addressed.</w:t>
      </w:r>
    </w:p>
  </w:comment>
  <w:comment w:id="10" w:author="HU, Dongpin [C&amp;I]" w:date="2026-06-08T09:57:00Z" w:initials="HD[">
    <w:p w14:paraId="38011110" w14:textId="77777777" w:rsidR="002527E8" w:rsidRDefault="002527E8" w:rsidP="002527E8">
      <w:r>
        <w:rPr>
          <w:rStyle w:val="CommentReference"/>
        </w:rPr>
        <w:annotationRef/>
      </w:r>
      <w:r>
        <w:rPr>
          <w:rFonts w:hint="eastAsia"/>
          <w:sz w:val="20"/>
          <w:szCs w:val="20"/>
        </w:rPr>
        <w:t xml:space="preserve">Question 1 for Dr. Song: </w:t>
      </w:r>
      <w:r>
        <w:rPr>
          <w:rFonts w:hint="eastAsia"/>
          <w:sz w:val="20"/>
          <w:szCs w:val="20"/>
        </w:rPr>
        <w:t>这个部分是否合理？</w:t>
      </w:r>
    </w:p>
  </w:comment>
  <w:comment w:id="12" w:author="HU, Dongpin [C&amp;I]" w:date="2026-06-08T09:57:00Z" w:initials="HD[">
    <w:p w14:paraId="78BA2377" w14:textId="3487A5B9" w:rsidR="002527E8" w:rsidRDefault="002527E8" w:rsidP="002527E8">
      <w:r>
        <w:rPr>
          <w:rStyle w:val="CommentReference"/>
        </w:rPr>
        <w:annotationRef/>
      </w:r>
      <w:r>
        <w:rPr>
          <w:sz w:val="20"/>
          <w:szCs w:val="20"/>
        </w:rPr>
        <w:t xml:space="preserve">Question 2 for Dr. Song: </w:t>
      </w:r>
      <w:r>
        <w:rPr>
          <w:rFonts w:hint="eastAsia"/>
          <w:sz w:val="20"/>
          <w:szCs w:val="20"/>
        </w:rPr>
        <w:t>这个部分的数学公式和解读是否合理？</w:t>
      </w:r>
    </w:p>
  </w:comment>
  <w:comment w:id="13" w:author="Codex Response" w:date="2026-06-08T01:29:00Z" w:initials="">
    <w:p w14:paraId="3D69F7B2" w14:textId="77777777" w:rsidR="001A2697" w:rsidRDefault="00132A2C">
      <w:r>
        <w:rPr>
          <w:rStyle w:val="CommentReference"/>
        </w:rPr>
        <w:annotationRef/>
      </w:r>
      <w:r w:rsidR="00000000">
        <w:t>R6 diagonal convention: Reviewer requested a fixed diagonal/self-loop rule. Response: Accepted. Definitions 1 and 2 now state the default zero-diagonal convention and explain when self-loops or frequencies should be handled separately. Status: addressed.</w:t>
      </w:r>
    </w:p>
  </w:comment>
  <w:comment w:id="14" w:author="Codex Response" w:date="2026-06-08T01:29:00Z" w:initials="">
    <w:p w14:paraId="25504A6C" w14:textId="77777777" w:rsidR="001A2697" w:rsidRDefault="00132A2C">
      <w:r>
        <w:rPr>
          <w:rStyle w:val="CommentReference"/>
        </w:rPr>
        <w:annotationRef/>
      </w:r>
      <w:r w:rsidR="00000000">
        <w:t>R2 B semantics: Reviewer noted that B may indicate association/exposure rather than contribution. Response: Accepted. Definition 3 and the generative construction now describe B as association/exposure/use by default and reserve contribution claims for person-specific evidence or an explicit attribution rule. Status: addressed.</w:t>
      </w:r>
    </w:p>
  </w:comment>
  <w:comment w:id="15" w:author="Codex Response" w:date="2026-06-08T01:29:00Z" w:initials="">
    <w:p w14:paraId="1443D426" w14:textId="77777777" w:rsidR="001A2697" w:rsidRDefault="00132A2C">
      <w:r>
        <w:rPr>
          <w:rStyle w:val="CommentReference"/>
        </w:rPr>
        <w:annotationRef/>
      </w:r>
      <w:r w:rsidR="00000000">
        <w:t>R9 normalization definition: Reviewer requested domain/codomain, zero-matrix handling, and structure preservation. Response: Accepted. Definition 4 now defines admissible normalization, requires nonnegativity and symmetry preservation where applicable, and sets N_L(0)=0. Status: addressed.</w:t>
      </w:r>
    </w:p>
  </w:comment>
  <w:comment w:id="17" w:author="HU, Dongpin [C&amp;I]" w:date="2026-06-08T09:59:00Z" w:initials="HD[">
    <w:p w14:paraId="52ED6ADF" w14:textId="60CF3267" w:rsidR="002527E8" w:rsidRDefault="002527E8" w:rsidP="002527E8">
      <w:r>
        <w:rPr>
          <w:rStyle w:val="CommentReference"/>
        </w:rPr>
        <w:annotationRef/>
      </w:r>
      <w:r>
        <w:rPr>
          <w:sz w:val="20"/>
          <w:szCs w:val="20"/>
        </w:rPr>
        <w:t xml:space="preserve">Question 3 for Dr. Song: </w:t>
      </w:r>
      <w:r>
        <w:rPr>
          <w:rFonts w:hint="eastAsia"/>
          <w:sz w:val="20"/>
          <w:szCs w:val="20"/>
        </w:rPr>
        <w:t>这个部分的数学公式是否合理？</w:t>
      </w:r>
    </w:p>
  </w:comment>
  <w:comment w:id="18" w:author="Codex Response" w:date="2026-06-08T01:29:00Z" w:initials="">
    <w:p w14:paraId="092E7127" w14:textId="77777777" w:rsidR="001A2697" w:rsidRDefault="00132A2C">
      <w:r>
        <w:rPr>
          <w:rStyle w:val="CommentReference"/>
        </w:rPr>
        <w:annotationRef/>
      </w:r>
      <w:r w:rsidR="00000000">
        <w:t>R7 ENA pipeline: Reviewer noted that W is not the full ENA model. Response: Accepted. The generative construction now calls W an ENA-style co-occurrence ingredient before unit-level normalization, rotation, or dimensional projection. Status: addressed.</w:t>
      </w:r>
    </w:p>
  </w:comment>
  <w:comment w:id="21" w:author="Codex Response" w:date="2026-06-08T01:29:00Z" w:initials="">
    <w:p w14:paraId="55B7933F" w14:textId="77777777" w:rsidR="001A2697" w:rsidRDefault="00132A2C">
      <w:r>
        <w:rPr>
          <w:rStyle w:val="CommentReference"/>
        </w:rPr>
        <w:annotationRef/>
      </w:r>
      <w:r w:rsidR="00000000">
        <w:t>R10 theorem assumptions: Reviewer noted that Theorem 1 depended on normalization properties. Response: Accepted. Theorem 1 now cites Assumptions 1-4 and its proof explicitly uses admissible normalization to justify nonnegativity and symmetry of normalized blocks. Status: addressed.</w:t>
      </w:r>
    </w:p>
  </w:comment>
  <w:comment w:id="22" w:author="HU, Dongpin [C&amp;I]" w:date="2026-06-08T10:00:00Z" w:initials="HD[">
    <w:p w14:paraId="51CE45EC" w14:textId="77777777" w:rsidR="002527E8" w:rsidRDefault="002527E8" w:rsidP="002527E8">
      <w:r>
        <w:rPr>
          <w:rStyle w:val="CommentReference"/>
        </w:rPr>
        <w:annotationRef/>
      </w:r>
      <w:r>
        <w:rPr>
          <w:sz w:val="20"/>
          <w:szCs w:val="20"/>
        </w:rPr>
        <w:t xml:space="preserve">Question 4 for Dr. Song: </w:t>
      </w:r>
      <w:r>
        <w:rPr>
          <w:rFonts w:hint="eastAsia"/>
          <w:sz w:val="20"/>
          <w:szCs w:val="20"/>
        </w:rPr>
        <w:t>这个部分的数学公式是否合理？</w:t>
      </w:r>
    </w:p>
  </w:comment>
  <w:comment w:id="23" w:author="HU, Dongpin [C&amp;I]" w:date="2026-06-08T09:58:00Z" w:initials="HD[">
    <w:p w14:paraId="6B538335" w14:textId="77777777" w:rsidR="002527E8" w:rsidRDefault="002527E8" w:rsidP="002527E8">
      <w:r>
        <w:rPr>
          <w:rStyle w:val="CommentReference"/>
        </w:rPr>
        <w:annotationRef/>
      </w:r>
      <w:r>
        <w:rPr>
          <w:sz w:val="20"/>
          <w:szCs w:val="20"/>
        </w:rPr>
        <w:t xml:space="preserve">Question 5 for Dr. Song: </w:t>
      </w:r>
      <w:r>
        <w:rPr>
          <w:rFonts w:hint="eastAsia"/>
          <w:sz w:val="20"/>
          <w:szCs w:val="20"/>
        </w:rPr>
        <w:t>这个部分的数学公式和解读是否正确？</w:t>
      </w:r>
    </w:p>
  </w:comment>
  <w:comment w:id="24" w:author="Codex Response" w:date="2026-06-08T01:29:00Z" w:initials="">
    <w:p w14:paraId="7E98CCEC" w14:textId="77777777" w:rsidR="001A2697" w:rsidRDefault="00132A2C">
      <w:r>
        <w:rPr>
          <w:rStyle w:val="CommentReference"/>
        </w:rPr>
        <w:annotationRef/>
      </w:r>
      <w:r w:rsidR="00000000">
        <w:t>R11 Laplacian/self-loop convention: Reviewer asked us to state the convention. Response: Accepted. Corollary 1 now explains that self-loops do not affect the quadratic form under the stated degree convention. Status: addressed.</w:t>
      </w:r>
    </w:p>
  </w:comment>
  <w:comment w:id="25" w:author="Codex Response" w:date="2026-06-08T01:29:00Z" w:initials="">
    <w:p w14:paraId="46FA6F4C" w14:textId="77777777" w:rsidR="001A2697" w:rsidRDefault="00132A2C">
      <w:r>
        <w:rPr>
          <w:rStyle w:val="CommentReference"/>
        </w:rPr>
        <w:annotationRef/>
      </w:r>
      <w:r w:rsidR="00000000">
        <w:t>R12 adjacency PSD: Reviewer asked us to make this warning more visible. Response: Accepted. Remark 1 is now titled Adjacency is not a kernel and states that A_fusion is generally not PSD. Status: addressed.</w:t>
      </w:r>
    </w:p>
  </w:comment>
  <w:comment w:id="26" w:author="Codex Response" w:date="2026-06-08T01:29:00Z" w:initials="">
    <w:p w14:paraId="108C904D" w14:textId="77777777" w:rsidR="001A2697" w:rsidRDefault="00132A2C">
      <w:r>
        <w:rPr>
          <w:rStyle w:val="CommentReference"/>
        </w:rPr>
        <w:annotationRef/>
      </w:r>
      <w:r w:rsidR="00000000">
        <w:t>R4 embedding/layout: Reviewer asked us to separate analytical embedding from force-directed layout. Response: Accepted. Theorem 2 now discusses analytical operators separately, and a new paragraph states that force-directed layouts are exploratory unless separately justified. Status: addressed.</w:t>
      </w:r>
    </w:p>
  </w:comment>
  <w:comment w:id="28" w:author="HU, Dongpin [C&amp;I]" w:date="2026-06-08T10:00:00Z" w:initials="HD[">
    <w:p w14:paraId="6107FABC" w14:textId="77777777" w:rsidR="002527E8" w:rsidRDefault="002527E8" w:rsidP="002527E8">
      <w:r>
        <w:rPr>
          <w:rStyle w:val="CommentReference"/>
        </w:rPr>
        <w:annotationRef/>
      </w:r>
      <w:r>
        <w:rPr>
          <w:sz w:val="20"/>
          <w:szCs w:val="20"/>
        </w:rPr>
        <w:t xml:space="preserve">Question 6 for Dr. Song: </w:t>
      </w:r>
      <w:r>
        <w:rPr>
          <w:rFonts w:hint="eastAsia"/>
          <w:sz w:val="20"/>
          <w:szCs w:val="20"/>
        </w:rPr>
        <w:t>这个部分的数学公式是否合理？</w:t>
      </w:r>
    </w:p>
  </w:comment>
  <w:comment w:id="29" w:author="Codex Response" w:date="2026-06-08T01:29:00Z" w:initials="">
    <w:p w14:paraId="7B889DB4" w14:textId="77777777" w:rsidR="001A2697" w:rsidRDefault="00132A2C">
      <w:r>
        <w:rPr>
          <w:rStyle w:val="CommentReference"/>
        </w:rPr>
        <w:annotationRef/>
      </w:r>
      <w:r w:rsidR="00000000">
        <w:t>R3 G attribution: Reviewer noted that G cannot prove that a person supported an ENA edge in multi-person windows. Response: Accepted. The attribution section now labels G as a participation-weighted association tensor and replaces strong support language with cautious association language unless person-specific evidence is available. Status: addressed.</w:t>
      </w:r>
    </w:p>
  </w:comment>
  <w:comment w:id="31" w:author="Codex Response" w:date="2026-06-08T01:29:00Z" w:initials="">
    <w:p w14:paraId="43170A63" w14:textId="77777777" w:rsidR="001A2697" w:rsidRDefault="00132A2C">
      <w:r>
        <w:rPr>
          <w:rStyle w:val="CommentReference"/>
        </w:rPr>
        <w:annotationRef/>
      </w:r>
      <w:r w:rsidR="00000000">
        <w:t>R13 scale dependence: Reviewer found that the old proposition applied only to raw matrices. Response: Accepted. Proposition 3 now covers A_raw only; the text separately explains that normalized SENA weights are convention-dependent rather than governed by the old raw-scale identity. Status: addressed.</w:t>
      </w:r>
    </w:p>
  </w:comment>
  <w:comment w:id="33" w:author="Codex Response" w:date="2026-06-08T01:29:00Z" w:initials="">
    <w:p w14:paraId="65F64583" w14:textId="77777777" w:rsidR="001A2697" w:rsidRDefault="00132A2C">
      <w:r>
        <w:rPr>
          <w:rStyle w:val="CommentReference"/>
        </w:rPr>
        <w:annotationRef/>
      </w:r>
      <w:r w:rsidR="00000000">
        <w:t>R5 typed centrality: Reviewer warned against direct ranking of person and code nodes. Response: Accepted. A new Typed Centrality and Layout Interpretation section now separates within-type, cross-type, bridge, and whole-graph typed measures. Status: addressed.</w:t>
      </w:r>
    </w:p>
  </w:comment>
  <w:comment w:id="35" w:author="HU, Dongpin [C&amp;I]" w:date="2026-06-08T10:00:00Z" w:initials="HD[">
    <w:p w14:paraId="02BE1BAF" w14:textId="77777777" w:rsidR="002527E8" w:rsidRDefault="002527E8" w:rsidP="002527E8">
      <w:r>
        <w:rPr>
          <w:rStyle w:val="CommentReference"/>
        </w:rPr>
        <w:annotationRef/>
      </w:r>
      <w:r>
        <w:rPr>
          <w:sz w:val="20"/>
          <w:szCs w:val="20"/>
        </w:rPr>
        <w:t xml:space="preserve">Question 7 for Dr. Song: </w:t>
      </w:r>
      <w:r>
        <w:rPr>
          <w:rFonts w:hint="eastAsia"/>
          <w:sz w:val="20"/>
          <w:szCs w:val="20"/>
        </w:rPr>
        <w:t>这个部分的数学公式是否合理？</w:t>
      </w:r>
    </w:p>
  </w:comment>
  <w:comment w:id="36" w:author="Codex Response" w:date="2026-06-08T01:29:00Z" w:initials="">
    <w:p w14:paraId="33D5B2B8" w14:textId="77777777" w:rsidR="001A2697" w:rsidRDefault="00132A2C">
      <w:r>
        <w:rPr>
          <w:rStyle w:val="CommentReference"/>
        </w:rPr>
        <w:annotationRef/>
      </w:r>
      <w:r w:rsidR="00000000">
        <w:t>R14 directed extension: Reviewer requested stricter directed-graph conditions. Response: Accepted. The directed section now states that directed Laplacians require a separate out-degree, random-walk, symmetrized, or other declared construction. Status: addressed.</w:t>
      </w:r>
    </w:p>
  </w:comment>
  <w:comment w:id="37" w:author="Codex Response" w:date="2026-06-08T01:29:00Z" w:initials="">
    <w:p w14:paraId="2836078D" w14:textId="77777777" w:rsidR="001A2697" w:rsidRDefault="00132A2C">
      <w:r>
        <w:rPr>
          <w:rStyle w:val="CommentReference"/>
        </w:rPr>
        <w:annotationRef/>
      </w:r>
      <w:r w:rsidR="00000000">
        <w:t>R15 directed bridge dimensions: Reviewer requested independent B^PC and B^CP declarations. Response: Accepted. The directed model now declares B^PC in R^{n x m} and B^CP in R^{m x n}, and notes that they need not be transposes in a genuinely directed model. Status: addressed.</w:t>
      </w:r>
    </w:p>
  </w:comment>
  <w:comment w:id="38" w:author="Codex Response" w:date="2026-06-08T01:29:00Z" w:initials="">
    <w:p w14:paraId="3BCC635F" w14:textId="77777777" w:rsidR="001A2697" w:rsidRDefault="00132A2C">
      <w:r>
        <w:rPr>
          <w:rStyle w:val="CommentReference"/>
        </w:rPr>
        <w:annotationRef/>
      </w:r>
      <w:r w:rsidR="00000000">
        <w:t>R16 temporal normalization: Reviewer asked us to clarify global vs within-time normalization. Response: Accepted. The temporal section now states the interpretive tradeoff between global and within-time normalization before using Delta A. Status: addressed.</w:t>
      </w:r>
    </w:p>
  </w:comment>
  <w:comment w:id="41" w:author="Codex Response" w:date="2026-06-08T01:29:00Z" w:initials="">
    <w:p w14:paraId="2B0D015D" w14:textId="77777777" w:rsidR="001A2697" w:rsidRDefault="00132A2C">
      <w:r>
        <w:rPr>
          <w:rStyle w:val="CommentReference"/>
        </w:rPr>
        <w:annotationRef/>
      </w:r>
      <w:r w:rsidR="00000000">
        <w:t>R8 null models: Reviewer requested that null models be tied to claims. Response: Accepted. The Statistical Validation Framework now includes a claim-to-validation table linking claim types to data, matrices/statistics, and validation methods. Status: addressed.</w:t>
      </w:r>
    </w:p>
  </w:comment>
  <w:comment w:id="44" w:author="Codex Response" w:date="2026-06-08T01:29:00Z" w:initials="">
    <w:p w14:paraId="2CFA1C10" w14:textId="77777777" w:rsidR="001A2697" w:rsidRDefault="00132A2C">
      <w:r>
        <w:rPr>
          <w:rStyle w:val="CommentReference"/>
        </w:rPr>
        <w:annotationRef/>
      </w:r>
      <w:r w:rsidR="00000000">
        <w:t>R20 conclusion conditions: Reviewer suggested moving conditions into the paper earlier. Response: Accepted. The same requirements now appear in assumptions, admissible normalization, typed interpretation, and statistical validation sections before the conclusion. Status: addressed.</w:t>
      </w:r>
    </w:p>
  </w:comment>
  <w:comment w:id="46" w:author="Codex Response" w:date="2026-06-08T01:29:00Z" w:initials="">
    <w:p w14:paraId="12134C09" w14:textId="77777777" w:rsidR="001A2697" w:rsidRDefault="00132A2C">
      <w:r>
        <w:rPr>
          <w:rStyle w:val="CommentReference"/>
        </w:rPr>
        <w:annotationRef/>
      </w:r>
      <w:r w:rsidR="00000000">
        <w:t>R21 references formatting: Reviewer flagged the stray 99 before the references. Response: Accepted. The revised manuscript removes the stray 99 and restores References as a proper heading. Status: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350004" w15:done="0"/>
  <w15:commentEx w15:paraId="124E6EBA" w15:done="0"/>
  <w15:commentEx w15:paraId="65FA7DCE" w15:done="0"/>
  <w15:commentEx w15:paraId="55B9366E" w15:done="0"/>
  <w15:commentEx w15:paraId="38011110" w15:done="0"/>
  <w15:commentEx w15:paraId="78BA2377" w15:done="0"/>
  <w15:commentEx w15:paraId="3D69F7B2" w15:done="0"/>
  <w15:commentEx w15:paraId="25504A6C" w15:done="0"/>
  <w15:commentEx w15:paraId="1443D426" w15:done="0"/>
  <w15:commentEx w15:paraId="52ED6ADF" w15:done="0"/>
  <w15:commentEx w15:paraId="092E7127" w15:done="0"/>
  <w15:commentEx w15:paraId="55B7933F" w15:done="0"/>
  <w15:commentEx w15:paraId="51CE45EC" w15:done="0"/>
  <w15:commentEx w15:paraId="6B538335" w15:done="0"/>
  <w15:commentEx w15:paraId="7E98CCEC" w15:done="0"/>
  <w15:commentEx w15:paraId="46FA6F4C" w15:done="0"/>
  <w15:commentEx w15:paraId="108C904D" w15:done="0"/>
  <w15:commentEx w15:paraId="6107FABC" w15:done="0"/>
  <w15:commentEx w15:paraId="7B889DB4" w15:done="0"/>
  <w15:commentEx w15:paraId="43170A63" w15:done="0"/>
  <w15:commentEx w15:paraId="65F64583" w15:done="0"/>
  <w15:commentEx w15:paraId="02BE1BAF" w15:done="0"/>
  <w15:commentEx w15:paraId="33D5B2B8" w15:done="0"/>
  <w15:commentEx w15:paraId="2836078D" w15:done="0"/>
  <w15:commentEx w15:paraId="3BCC635F" w15:done="0"/>
  <w15:commentEx w15:paraId="2B0D015D" w15:done="0"/>
  <w15:commentEx w15:paraId="2CFA1C10" w15:done="0"/>
  <w15:commentEx w15:paraId="12134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A9DAC3" w16cex:dateUtc="2026-06-08T01:57:00Z"/>
  <w16cex:commentExtensible w16cex:durableId="5244D37E" w16cex:dateUtc="2026-06-08T01:57:00Z"/>
  <w16cex:commentExtensible w16cex:durableId="48FB8705" w16cex:dateUtc="2026-06-08T01:59:00Z"/>
  <w16cex:commentExtensible w16cex:durableId="28466E6F" w16cex:dateUtc="2026-06-08T02:00:00Z"/>
  <w16cex:commentExtensible w16cex:durableId="3FF18332" w16cex:dateUtc="2026-06-08T01:58:00Z"/>
  <w16cex:commentExtensible w16cex:durableId="56EDEBCA" w16cex:dateUtc="2026-06-08T02:00:00Z"/>
  <w16cex:commentExtensible w16cex:durableId="561A7633" w16cex:dateUtc="2026-06-08T0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350004" w16cid:durableId="0B4145C7"/>
  <w16cid:commentId w16cid:paraId="124E6EBA" w16cid:durableId="32EAC8BD"/>
  <w16cid:commentId w16cid:paraId="65FA7DCE" w16cid:durableId="2023A56E"/>
  <w16cid:commentId w16cid:paraId="55B9366E" w16cid:durableId="7073E7B0"/>
  <w16cid:commentId w16cid:paraId="38011110" w16cid:durableId="54A9DAC3"/>
  <w16cid:commentId w16cid:paraId="78BA2377" w16cid:durableId="5244D37E"/>
  <w16cid:commentId w16cid:paraId="3D69F7B2" w16cid:durableId="6CA7E301"/>
  <w16cid:commentId w16cid:paraId="25504A6C" w16cid:durableId="0DE13B4D"/>
  <w16cid:commentId w16cid:paraId="1443D426" w16cid:durableId="44ED01CD"/>
  <w16cid:commentId w16cid:paraId="52ED6ADF" w16cid:durableId="48FB8705"/>
  <w16cid:commentId w16cid:paraId="092E7127" w16cid:durableId="08932BC4"/>
  <w16cid:commentId w16cid:paraId="55B7933F" w16cid:durableId="0412A6F2"/>
  <w16cid:commentId w16cid:paraId="51CE45EC" w16cid:durableId="28466E6F"/>
  <w16cid:commentId w16cid:paraId="6B538335" w16cid:durableId="3FF18332"/>
  <w16cid:commentId w16cid:paraId="7E98CCEC" w16cid:durableId="14623DF3"/>
  <w16cid:commentId w16cid:paraId="46FA6F4C" w16cid:durableId="2BA13E18"/>
  <w16cid:commentId w16cid:paraId="108C904D" w16cid:durableId="60048024"/>
  <w16cid:commentId w16cid:paraId="6107FABC" w16cid:durableId="56EDEBCA"/>
  <w16cid:commentId w16cid:paraId="7B889DB4" w16cid:durableId="70094257"/>
  <w16cid:commentId w16cid:paraId="43170A63" w16cid:durableId="7DC2E68C"/>
  <w16cid:commentId w16cid:paraId="65F64583" w16cid:durableId="537920B9"/>
  <w16cid:commentId w16cid:paraId="02BE1BAF" w16cid:durableId="561A7633"/>
  <w16cid:commentId w16cid:paraId="33D5B2B8" w16cid:durableId="466F8189"/>
  <w16cid:commentId w16cid:paraId="2836078D" w16cid:durableId="3880E275"/>
  <w16cid:commentId w16cid:paraId="3BCC635F" w16cid:durableId="7003F201"/>
  <w16cid:commentId w16cid:paraId="2B0D015D" w16cid:durableId="5D79651F"/>
  <w16cid:commentId w16cid:paraId="2CFA1C10" w16cid:durableId="28E38128"/>
  <w16cid:commentId w16cid:paraId="12134C09" w16cid:durableId="74571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9B7D" w14:textId="77777777" w:rsidR="00714E57" w:rsidRDefault="00714E57" w:rsidP="002527E8">
      <w:pPr>
        <w:spacing w:after="0"/>
      </w:pPr>
      <w:r>
        <w:separator/>
      </w:r>
    </w:p>
  </w:endnote>
  <w:endnote w:type="continuationSeparator" w:id="0">
    <w:p w14:paraId="04772C34" w14:textId="77777777" w:rsidR="00714E57" w:rsidRDefault="00714E57" w:rsidP="002527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581866"/>
      <w:docPartObj>
        <w:docPartGallery w:val="Page Numbers (Bottom of Page)"/>
        <w:docPartUnique/>
      </w:docPartObj>
    </w:sdtPr>
    <w:sdtContent>
      <w:p w14:paraId="6FCB7842" w14:textId="5B262A08" w:rsidR="002527E8" w:rsidRDefault="002527E8" w:rsidP="00D704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D67175" w14:textId="77777777" w:rsidR="002527E8" w:rsidRDefault="002527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1520201"/>
      <w:docPartObj>
        <w:docPartGallery w:val="Page Numbers (Bottom of Page)"/>
        <w:docPartUnique/>
      </w:docPartObj>
    </w:sdtPr>
    <w:sdtContent>
      <w:p w14:paraId="138EB993" w14:textId="1C1AB5DA" w:rsidR="002527E8" w:rsidRDefault="002527E8" w:rsidP="00D704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635A201C" w14:textId="77777777" w:rsidR="002527E8" w:rsidRDefault="00252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6D6CB" w14:textId="77777777" w:rsidR="00714E57" w:rsidRDefault="00714E57" w:rsidP="002527E8">
      <w:pPr>
        <w:spacing w:after="0"/>
      </w:pPr>
      <w:r>
        <w:separator/>
      </w:r>
    </w:p>
  </w:footnote>
  <w:footnote w:type="continuationSeparator" w:id="0">
    <w:p w14:paraId="06758EAE" w14:textId="77777777" w:rsidR="00714E57" w:rsidRDefault="00714E57" w:rsidP="002527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98C0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EDEE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795C9A"/>
    <w:multiLevelType w:val="hybridMultilevel"/>
    <w:tmpl w:val="930EF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398502">
    <w:abstractNumId w:val="0"/>
  </w:num>
  <w:num w:numId="2" w16cid:durableId="87584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8908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1033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1751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34514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 Dongpin [C&amp;I]">
    <w15:presenceInfo w15:providerId="AD" w15:userId="S::dhu@eduhk.hk::b45a9932-036f-4fc5-899d-4781eb006a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A2697"/>
    <w:rsid w:val="00132A2C"/>
    <w:rsid w:val="001A2697"/>
    <w:rsid w:val="002527E8"/>
    <w:rsid w:val="00714E57"/>
    <w:rsid w:val="009A5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BC5D53"/>
  <w15:docId w15:val="{F37B9CFC-544B-824A-8891-A1924F5C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2527E8"/>
    <w:rPr>
      <w:b/>
      <w:bCs/>
    </w:rPr>
  </w:style>
  <w:style w:type="character" w:customStyle="1" w:styleId="CommentSubjectChar">
    <w:name w:val="Comment Subject Char"/>
    <w:basedOn w:val="CommentTextChar"/>
    <w:link w:val="CommentSubject"/>
    <w:rsid w:val="002527E8"/>
    <w:rPr>
      <w:b/>
      <w:bCs/>
      <w:sz w:val="20"/>
      <w:szCs w:val="20"/>
    </w:rPr>
  </w:style>
  <w:style w:type="paragraph" w:styleId="Footer">
    <w:name w:val="footer"/>
    <w:basedOn w:val="Normal"/>
    <w:link w:val="FooterChar"/>
    <w:rsid w:val="002527E8"/>
    <w:pPr>
      <w:tabs>
        <w:tab w:val="center" w:pos="4680"/>
        <w:tab w:val="right" w:pos="9360"/>
      </w:tabs>
      <w:spacing w:after="0"/>
    </w:pPr>
  </w:style>
  <w:style w:type="character" w:customStyle="1" w:styleId="FooterChar">
    <w:name w:val="Footer Char"/>
    <w:basedOn w:val="DefaultParagraphFont"/>
    <w:link w:val="Footer"/>
    <w:rsid w:val="002527E8"/>
  </w:style>
  <w:style w:type="character" w:styleId="PageNumber">
    <w:name w:val="page number"/>
    <w:basedOn w:val="DefaultParagraphFont"/>
    <w:rsid w:val="00252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3646</Words>
  <Characters>20786</Characters>
  <Application>Microsoft Office Word</Application>
  <DocSecurity>0</DocSecurity>
  <Lines>173</Lines>
  <Paragraphs>48</Paragraphs>
  <ScaleCrop>false</ScaleCrop>
  <Company/>
  <LinksUpToDate>false</LinksUpToDate>
  <CharactersWithSpaces>24384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 Dongpin [C&amp;I]</cp:lastModifiedBy>
  <cp:revision>2</cp:revision>
  <dcterms:created xsi:type="dcterms:W3CDTF">2026-06-08T01:27:00Z</dcterms:created>
  <dcterms:modified xsi:type="dcterms:W3CDTF">2026-06-08T02:01:00Z</dcterms:modified>
</cp:coreProperties>
</file>