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Formal Analysis of the SENA Fusion Matrix:</w:t>
      </w:r>
      <w:r>
        <w:br/>
      </w:r>
      <w:r>
        <w:t xml:space="preserve">A Typed Supra-Adjacency Model for Social-Epistemic Network Analysis</w:t>
      </w:r>
    </w:p>
    <w:p>
      <w:pPr>
        <w:pStyle w:val="Author"/>
      </w:pPr>
      <w:r>
        <w:t xml:space="preserve">Draft mathematical note for the SENA project</w:t>
      </w:r>
    </w:p>
    <w:p>
      <w:pPr>
        <w:pStyle w:val="Date"/>
      </w:pPr>
      <w:r>
        <w:t xml:space="preserve">June 8,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Social Network Analysis (SNA) represents relations among persons, while</w:t>
      </w:r>
      <w:r>
        <w:t xml:space="preserve"> </w:t>
      </w:r>
      <w:r>
        <w:t xml:space="preserve">Epistemic Network Analysis (ENA) represents relations among coded epistemic</w:t>
      </w:r>
      <w:r>
        <w:t xml:space="preserve"> </w:t>
      </w:r>
      <w:r>
        <w:t xml:space="preserve">elements. The proposed SENA fusion formula combines a person-person social</w:t>
      </w:r>
      <w:r>
        <w:t xml:space="preserve"> </w:t>
      </w:r>
      <w:r>
        <w:t xml:space="preserve">matrix, a code-code epistemic co-occurrence matrix, and a person-code bridge</w:t>
      </w:r>
      <w:r>
        <w:t xml:space="preserve"> </w:t>
      </w:r>
      <w:r>
        <w:t xml:space="preserve">matrix into one block matrix. This paper gives a formal mathematical analysis</w:t>
      </w:r>
      <w:r>
        <w:t xml:space="preserve"> </w:t>
      </w:r>
      <w:r>
        <w:t xml:space="preserve">of that formula. We show that, under explicit dimensional, nonnegativity,</w:t>
      </w:r>
      <w:r>
        <w:t xml:space="preserve"> </w:t>
      </w:r>
      <w:r>
        <w:t xml:space="preserve">symmetry, and normalization assumptions, the SENA fusion matrix is a valid</w:t>
      </w:r>
      <w:r>
        <w:t xml:space="preserve"> </w:t>
      </w:r>
      <w:r>
        <w:t xml:space="preserve">weighted typed adjacency matrix on a heterogeneous social-epistemic graph. We</w:t>
      </w:r>
      <w:r>
        <w:t xml:space="preserve"> </w:t>
      </w:r>
      <w:r>
        <w:t xml:space="preserve">prove dimensional consistency, symmetry conditions, Laplacian positive</w:t>
      </w:r>
      <w:r>
        <w:t xml:space="preserve"> </w:t>
      </w:r>
      <w:r>
        <w:t xml:space="preserve">semidefiniteness, coherent boundary cases, and the distinction between a joint</w:t>
      </w:r>
      <w:r>
        <w:t xml:space="preserve"> </w:t>
      </w:r>
      <w:r>
        <w:t xml:space="preserve">adjacency model and an ENA projection. We also identify failure modes and</w:t>
      </w:r>
      <w:r>
        <w:t xml:space="preserve"> </w:t>
      </w:r>
      <w:r>
        <w:t xml:space="preserve">statistical validation requirements. The main conclusion is that SENA should be</w:t>
      </w:r>
      <w:r>
        <w:t xml:space="preserve"> </w:t>
      </w:r>
      <w:r>
        <w:t xml:space="preserve">interpreted not as a simple visual overlay of SNA and ENA, but as a typed</w:t>
      </w:r>
      <w:r>
        <w:t xml:space="preserve"> </w:t>
      </w:r>
      <w:r>
        <w:t xml:space="preserve">supra-adjacency representation of a social-epistemic nexus. Its novelty is</w:t>
      </w:r>
      <w:r>
        <w:t xml:space="preserve"> </w:t>
      </w:r>
      <w:r>
        <w:t xml:space="preserve">domain-specific formalization and validation, not the invention of block</w:t>
      </w:r>
      <w:r>
        <w:t xml:space="preserve"> </w:t>
      </w:r>
      <w:r>
        <w:t xml:space="preserve">adjacency matrices themselves.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social network analysis; epistemic network</w:t>
      </w:r>
      <w:r>
        <w:t xml:space="preserve"> </w:t>
      </w:r>
      <w:r>
        <w:t xml:space="preserve">analysis; heterogeneous networks; multilayer networks; supra-adjacency matrix;</w:t>
      </w:r>
      <w:r>
        <w:t xml:space="preserve"> </w:t>
      </w:r>
      <w:r>
        <w:t xml:space="preserve">collaborative learning analytics; SENA.</w:t>
      </w:r>
    </w:p>
    <w:p>
      <w:pPr>
        <w:pStyle w:val="BodyText"/>
      </w:pPr>
      <w:r>
        <w:rPr>
          <w:b/>
          <w:bCs/>
        </w:rPr>
        <w:t xml:space="preserve">Mathematics Subject Classification:</w:t>
      </w:r>
      <w:r>
        <w:t xml:space="preserve"> </w:t>
      </w:r>
      <w:r>
        <w:t xml:space="preserve">05C50, 05C82, 62H25,</w:t>
      </w:r>
      <w:r>
        <w:t xml:space="preserve"> </w:t>
      </w:r>
      <w:r>
        <w:t xml:space="preserve">91D30.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Collaborative learning is simultaneously social and epistemic. Learners</w:t>
      </w:r>
      <w:r>
        <w:t xml:space="preserve"> </w:t>
      </w:r>
      <w:r>
        <w:t xml:space="preserve">interact with particular people while producing, connecting, challenging, and</w:t>
      </w:r>
      <w:r>
        <w:t xml:space="preserve"> </w:t>
      </w:r>
      <w:r>
        <w:t xml:space="preserve">refining particular ideas. SNA gives mature tools for person-person relations,</w:t>
      </w:r>
      <w:r>
        <w:t xml:space="preserve"> </w:t>
      </w:r>
      <w:r>
        <w:t xml:space="preserve">such as degree, density, centrality, communities, and brokerage</w:t>
      </w:r>
      <w:r>
        <w:t xml:space="preserve"> </w:t>
      </w:r>
      <w:r>
        <w:t xml:space="preserve">. ENA gives a</w:t>
      </w:r>
      <w:r>
        <w:t xml:space="preserve"> </w:t>
      </w:r>
      <w:r>
        <w:t xml:space="preserve">formal way to model co-occurrence relations among coded epistemic elements and</w:t>
      </w:r>
      <w:r>
        <w:t xml:space="preserve"> </w:t>
      </w:r>
      <w:r>
        <w:t xml:space="preserve">to project units of analysis into a low-dimensional epistemic space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The methodological gap is not that SNA and ENA cannot both be applied to the</w:t>
      </w:r>
      <w:r>
        <w:t xml:space="preserve"> </w:t>
      </w:r>
      <w:r>
        <w:t xml:space="preserve">same data. Prior work such as SENS and iSENS already argues for combining</w:t>
      </w:r>
      <w:r>
        <w:t xml:space="preserve"> </w:t>
      </w:r>
      <w:r>
        <w:t xml:space="preserve">social and epistemic perspectives</w:t>
      </w:r>
      <w:r>
        <w:t xml:space="preserve"> </w:t>
      </w:r>
      <w:r>
        <w:t xml:space="preserve">. The sharper mathematical question is whether</w:t>
      </w:r>
      <w:r>
        <w:t xml:space="preserve"> </w:t>
      </w:r>
      <w:r>
        <w:t xml:space="preserve">one can construct a single object that contains person-person, code-code, and</w:t>
      </w:r>
      <w:r>
        <w:t xml:space="preserve"> </w:t>
      </w:r>
      <w:r>
        <w:t xml:space="preserve">person-code relations while preserving their type distinctions and while</w:t>
      </w:r>
      <w:r>
        <w:t xml:space="preserve"> </w:t>
      </w:r>
      <w:r>
        <w:t xml:space="preserve">remaining compatible with standard network analysis.</w:t>
      </w:r>
    </w:p>
    <w:p>
      <w:pPr>
        <w:pStyle w:val="BodyText"/>
      </w:pPr>
      <w:r>
        <w:t xml:space="preserve">The proposed SENA formula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</m:e>
                  <m:e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</m:mr>
                <m:mr>
                  <m:e>
                    <m:r>
                      <m:t>γ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</m:oMath>
      <w:r>
        <w:t xml:space="preserve"> </w:t>
      </w:r>
      <w:r>
        <w:t xml:space="preserve">is a normalized social matrix,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is a normalized</w:t>
      </w:r>
      <w:r>
        <w:t xml:space="preserve"> </w:t>
      </w:r>
      <w:r>
        <w:t xml:space="preserve">epistemic co-occurrence matrix,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is a normalized person-code bridge</w:t>
      </w:r>
      <w:r>
        <w:t xml:space="preserve"> </w:t>
      </w:r>
      <w:r>
        <w:t xml:space="preserve">matrix, and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 layer weights.</w:t>
      </w:r>
    </w:p>
    <w:p>
      <w:pPr>
        <w:pStyle w:val="BodyText"/>
      </w:pPr>
      <w:r>
        <w:t xml:space="preserve">This paper analyzes the fusion matrix as a mathematical object. The</w:t>
      </w:r>
      <w:r>
        <w:t xml:space="preserve"> </w:t>
      </w:r>
      <w:r>
        <w:t xml:space="preserve">central claim is:</w:t>
      </w:r>
    </w:p>
    <w:p>
      <w:pPr>
        <w:pStyle w:val="BlockText"/>
      </w:pPr>
      <w:r>
        <w:t xml:space="preserve">The SENA formula is mathematically valid as a normalized weighted heterogeneous</w:t>
      </w:r>
      <w:r>
        <w:t xml:space="preserve"> </w:t>
      </w:r>
      <w:r>
        <w:t xml:space="preserve">adjacency matrix on the typed node set</w:t>
      </w:r>
      <w:r>
        <w:t xml:space="preserve"> </w:t>
      </w:r>
      <m:oMath>
        <m:r>
          <m:t>P</m:t>
        </m:r>
        <m:r>
          <m:rPr>
            <m:sty m:val="p"/>
          </m:rPr>
          <m:t>∪</m:t>
        </m:r>
        <m:r>
          <m:t>C</m:t>
        </m:r>
      </m:oMath>
      <w:r>
        <w:t xml:space="preserve">. It is not, by itself, an</w:t>
      </w:r>
      <w:r>
        <w:t xml:space="preserve"> </w:t>
      </w:r>
      <w:r>
        <w:t xml:space="preserve">ENA projection, a causal model, or an inferential test.</w:t>
      </w:r>
    </w:p>
    <w:bookmarkEnd w:id="9"/>
    <w:bookmarkStart w:id="10" w:name="Xaf8d3948f29219abf46dff8050ab76e306d92db"/>
    <w:p>
      <w:pPr>
        <w:pStyle w:val="Heading1"/>
      </w:pPr>
      <w:r>
        <w:t xml:space="preserve">Related Mathematical and Methodological Context</w:t>
      </w:r>
    </w:p>
    <w:p>
      <w:pPr>
        <w:pStyle w:val="FirstParagraph"/>
      </w:pPr>
      <w:r>
        <w:t xml:space="preserve">The formula sits at the intersection of four established literatures. First,</w:t>
      </w:r>
      <w:r>
        <w:t xml:space="preserve"> </w:t>
      </w:r>
      <w:r>
        <w:t xml:space="preserve">SNA supplies the person-person graph layer</w:t>
      </w:r>
      <w:r>
        <w:t xml:space="preserve"> </w:t>
      </w:r>
      <w:r>
        <w:t xml:space="preserve">. Second, ENA</w:t>
      </w:r>
      <w:r>
        <w:t xml:space="preserve"> </w:t>
      </w:r>
      <w:r>
        <w:t xml:space="preserve">supplies the code-code co-occurrence logic and, separately, projection methods</w:t>
      </w:r>
      <w:r>
        <w:t xml:space="preserve"> </w:t>
      </w:r>
      <w:r>
        <w:t xml:space="preserve">for units of analysis</w:t>
      </w:r>
      <w:r>
        <w:t xml:space="preserve"> </w:t>
      </w:r>
      <w:r>
        <w:t xml:space="preserve">. Third,</w:t>
      </w:r>
      <w:r>
        <w:t xml:space="preserve"> </w:t>
      </w:r>
      <w:r>
        <w:t xml:space="preserve">multilayer network theory supplies supra-adjacency representations for systems</w:t>
      </w:r>
      <w:r>
        <w:t xml:space="preserve"> </w:t>
      </w:r>
      <w:r>
        <w:t xml:space="preserve">with multiple layers or relation types</w:t>
      </w:r>
      <w:r>
        <w:t xml:space="preserve"> </w:t>
      </w:r>
      <w:r>
        <w:t xml:space="preserve">. Fourth,</w:t>
      </w:r>
      <w:r>
        <w:t xml:space="preserve"> </w:t>
      </w:r>
      <w:r>
        <w:t xml:space="preserve">heterogeneous information network theory supplies typed nodes and typed edges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SENS and iSENS are the nearest learning-analytics precedents. They establish</w:t>
      </w:r>
      <w:r>
        <w:t xml:space="preserve"> </w:t>
      </w:r>
      <w:r>
        <w:t xml:space="preserve">that SNA and ENA can provide complementary information about collaborative</w:t>
      </w:r>
      <w:r>
        <w:t xml:space="preserve"> </w:t>
      </w:r>
      <w:r>
        <w:t xml:space="preserve">learning roles, discourse, group differences, and performance</w:t>
      </w:r>
      <w:r>
        <w:t xml:space="preserve"> </w:t>
      </w:r>
      <w:r>
        <w:t xml:space="preserve">. However, their main contribution is an</w:t>
      </w:r>
      <w:r>
        <w:t xml:space="preserve"> </w:t>
      </w:r>
      <w:r>
        <w:t xml:space="preserve">integrated analytic strategy rather than the specific block object represented</w:t>
      </w:r>
      <w:r>
        <w:t xml:space="preserve"> </w:t>
      </w:r>
      <w:r>
        <w:t xml:space="preserve">by the SENA fusion matrix. Conversely, multilayer and heterogeneous-network</w:t>
      </w:r>
      <w:r>
        <w:t xml:space="preserve"> </w:t>
      </w:r>
      <w:r>
        <w:t xml:space="preserve">theory make this block construction mathematically unsurprising, but they do</w:t>
      </w:r>
      <w:r>
        <w:t xml:space="preserve"> </w:t>
      </w:r>
      <w:r>
        <w:t xml:space="preserve">not supply the learning-analytics semantics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Consequently, a calibrated novelty claim is required. SENA does not invent</w:t>
      </w:r>
      <w:r>
        <w:t xml:space="preserve"> </w:t>
      </w:r>
      <w:r>
        <w:t xml:space="preserve">block matrices or multilayer graphs. Its contribution is the domain-specific</w:t>
      </w:r>
      <w:r>
        <w:t xml:space="preserve"> </w:t>
      </w:r>
      <w:r>
        <w:t xml:space="preserve">formalization of a social-epistemic graph that keeps persons and epistemic</w:t>
      </w:r>
      <w:r>
        <w:t xml:space="preserve"> </w:t>
      </w:r>
      <w:r>
        <w:t xml:space="preserve">codes as different node types while retaining social ties, epistemic</w:t>
      </w:r>
      <w:r>
        <w:t xml:space="preserve"> </w:t>
      </w:r>
      <w:r>
        <w:t xml:space="preserve">co-occurrences, and contribution bridges in one traceable model object.</w:t>
      </w:r>
    </w:p>
    <w:bookmarkEnd w:id="10"/>
    <w:bookmarkStart w:id="11" w:name="notation-and-empirical-matrices"/>
    <w:p>
      <w:pPr>
        <w:pStyle w:val="Heading1"/>
      </w:pPr>
      <w:r>
        <w:t xml:space="preserve">Notation and Empirical Matrices</w:t>
      </w:r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denote the person set and the code set. The typed node set is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∪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∩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(Social layer).</w:t>
      </w:r>
      <w:r>
        <w:t xml:space="preserve"> </w:t>
      </w:r>
      <w:r>
        <w:t xml:space="preserve"> </w:t>
      </w:r>
      <w:r>
        <w:t xml:space="preserve">The social layer is a matrix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∈</m:t>
          </m:r>
          <m:sSubSup>
            <m:e>
              <m:r>
                <m:rPr>
                  <m:scr m:val="double-struck"/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≥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denotes the observed interaction strength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 In an undirected model,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Definition 2</w:t>
      </w:r>
      <w:r>
        <w:t xml:space="preserve"> </w:t>
      </w:r>
      <w:r>
        <w:t xml:space="preserve">(Epistemic co-occurrence layer).</w:t>
      </w:r>
      <w:r>
        <w:t xml:space="preserve"> </w:t>
      </w:r>
      <w:r>
        <w:t xml:space="preserve"> </w:t>
      </w:r>
      <w:r>
        <w:t xml:space="preserve">The epistemic layer is a matrix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∈</m:t>
          </m:r>
          <m:sSubSup>
            <m:e>
              <m:r>
                <m:rPr>
                  <m:scr m:val="double-struck"/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≥</m:t>
              </m:r>
              <m:r>
                <m:t>0</m:t>
              </m:r>
            </m:sub>
            <m:sup>
              <m:r>
                <m:t>m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denotes the co-occurrence strength between codes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within a specified unit, stanza, or moving window. In the usual ENA</w:t>
      </w:r>
      <w:r>
        <w:t xml:space="preserve"> </w:t>
      </w:r>
      <w:r>
        <w:t xml:space="preserve">co-occurrence construction,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b</m:t>
            </m:r>
            <m:r>
              <m:t>a</m:t>
            </m:r>
          </m:sub>
        </m:sSub>
      </m:oMath>
      <w:r>
        <w:t xml:space="preserve"> </w:t>
      </w:r>
      <w:r>
        <w:t xml:space="preserve">and diagonal entries are either</w:t>
      </w:r>
      <w:r>
        <w:t xml:space="preserve"> </w:t>
      </w:r>
      <w:r>
        <w:t xml:space="preserve">zero or treated separately as code frequencies.</w:t>
      </w:r>
    </w:p>
    <w:p>
      <w:pPr>
        <w:pStyle w:val="BodyText"/>
      </w:pPr>
      <w:r>
        <w:rPr>
          <w:b/>
          <w:bCs/>
        </w:rPr>
        <w:t xml:space="preserve">Definition 3</w:t>
      </w:r>
      <w:r>
        <w:t xml:space="preserve"> </w:t>
      </w:r>
      <w:r>
        <w:t xml:space="preserve">(Bridge layer).</w:t>
      </w:r>
      <w:r>
        <w:t xml:space="preserve"> </w:t>
      </w:r>
      <w:r>
        <w:t xml:space="preserve"> </w:t>
      </w:r>
      <w:r>
        <w:t xml:space="preserve">The bridge layer is a matrix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∈</m:t>
          </m:r>
          <m:sSubSup>
            <m:e>
              <m:r>
                <m:rPr>
                  <m:scr m:val="double-struck"/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≥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a</m:t>
            </m:r>
          </m:sub>
        </m:sSub>
      </m:oMath>
      <w:r>
        <w:t xml:space="preserve"> </w:t>
      </w:r>
      <w:r>
        <w:t xml:space="preserve">denotes the contribution, use, or activation strength of code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by person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Definition 4</w:t>
      </w:r>
      <w:r>
        <w:t xml:space="preserve"> </w:t>
      </w:r>
      <w:r>
        <w:t xml:space="preserve">(Layer normalization).</w:t>
      </w:r>
      <w:r>
        <w:t xml:space="preserve"> </w:t>
      </w:r>
      <w:r>
        <w:t xml:space="preserve"> </w:t>
      </w:r>
      <w:r>
        <w:t xml:space="preserve">A layer normalization is a map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↦</m:t>
        </m:r>
        <m:sSub>
          <m:e>
            <m:acc>
              <m:accPr>
                <m:chr m:val="̂"/>
              </m:accPr>
              <m:e>
                <m:r>
                  <m:t>M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applied</w:t>
      </w:r>
      <w:r>
        <w:t xml:space="preserve"> </w:t>
      </w:r>
      <w:r>
        <w:t xml:space="preserve">separately to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. Examples include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u</m:t>
                  </m:r>
                  <m:r>
                    <m:t>v</m:t>
                  </m:r>
                </m:lim>
              </m:limLow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u</m:t>
                  </m:r>
                  <m:r>
                    <m:t>v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sSub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t>M</m:t>
                      </m:r>
                    </m:e>
                  </m:d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1"/>
    <w:bookmarkStart w:id="12" w:name="a-generative-construction"/>
    <w:p>
      <w:pPr>
        <w:pStyle w:val="Heading1"/>
      </w:pPr>
      <w:r>
        <w:t xml:space="preserve">A Generative Construction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q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a set of discourse windows.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activation strength of code 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nor/>
              <m:sty m:val="p"/>
            </m:rPr>
            <m:t> in window 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participation strength of person 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in window 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 the observed social interaction strength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 A common SENA-compatible construction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a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t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≠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equation is an ENA-style code co-occurrence object before</w:t>
      </w:r>
      <w:r>
        <w:t xml:space="preserve"> </w:t>
      </w:r>
      <w:r>
        <w:t xml:space="preserve">dimensional reduction. The third equation is an affiliation or contribution</w:t>
      </w:r>
      <w:r>
        <w:t xml:space="preserve"> </w:t>
      </w:r>
      <w:r>
        <w:t xml:space="preserve">object connecting persons to codes.</w:t>
      </w:r>
    </w:p>
    <w:bookmarkEnd w:id="12"/>
    <w:bookmarkStart w:id="13" w:name="assumptions"/>
    <w:p>
      <w:pPr>
        <w:pStyle w:val="Heading1"/>
      </w:pPr>
      <w:r>
        <w:t xml:space="preserve">Assumptions</w:t>
      </w:r>
    </w:p>
    <w:p>
      <w:pPr>
        <w:pStyle w:val="FirstParagraph"/>
      </w:pPr>
      <w:r>
        <w:rPr>
          <w:b/>
          <w:bCs/>
        </w:rPr>
        <w:t xml:space="preserve">Assumption 1</w:t>
      </w:r>
      <w:r>
        <w:t xml:space="preserve"> </w:t>
      </w:r>
      <w:r>
        <w:t xml:space="preserve">(Dimensional compatibility).</w:t>
      </w:r>
      <w:r>
        <w:t xml:space="preserve"> 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m</m:t>
            </m:r>
          </m:sup>
        </m:sSup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Assumption 2</w:t>
      </w:r>
      <w:r>
        <w:t xml:space="preserve"> </w:t>
      </w:r>
      <w:r>
        <w:t xml:space="preserve">(Nonnegativity).</w:t>
      </w:r>
      <w:r>
        <w:t xml:space="preserve"> 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have nonnegative entries and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Assumption 3</w:t>
      </w:r>
      <w:r>
        <w:t xml:space="preserve"> </w:t>
      </w:r>
      <w:r>
        <w:t xml:space="preserve">(Undirected baseline).</w:t>
      </w:r>
      <w:r>
        <w:t xml:space="preserve"> </w:t>
      </w:r>
      <w:r>
        <w:t xml:space="preserve"> </w:t>
      </w:r>
      <w:r>
        <w:t xml:space="preserve">For the undirected SENA baseline,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Assumption 4</w:t>
      </w:r>
      <w:r>
        <w:t xml:space="preserve"> </w:t>
      </w:r>
      <w:r>
        <w:t xml:space="preserve">(Explicit normalization).</w:t>
      </w:r>
      <w:r>
        <w:t xml:space="preserve"> </w:t>
      </w:r>
      <w:r>
        <w:t xml:space="preserve"> </w:t>
      </w:r>
      <w:r>
        <w:t xml:space="preserve">The matrices entering the fusion matrix are normalized within layers</w:t>
      </w:r>
      <w:r>
        <w:t xml:space="preserve"> </w:t>
      </w:r>
      <w:r>
        <w:t xml:space="preserve">before cross-layer scaling by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Assumption 5</w:t>
      </w:r>
      <w:r>
        <w:t xml:space="preserve"> </w:t>
      </w:r>
      <w:r>
        <w:t xml:space="preserve">(Typed-node semantics).</w:t>
      </w:r>
      <w:r>
        <w:t xml:space="preserve"> </w:t>
      </w:r>
      <w:r>
        <w:t xml:space="preserve"> </w:t>
      </w:r>
      <w:r>
        <w:t xml:space="preserve">The labels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belong to different node types. Distances or</w:t>
      </w:r>
      <w:r>
        <w:t xml:space="preserve"> </w:t>
      </w:r>
      <w:r>
        <w:t xml:space="preserve">centralities computed from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must be interpreted with respect to this</w:t>
      </w:r>
      <w:r>
        <w:t xml:space="preserve"> </w:t>
      </w:r>
      <w:r>
        <w:t xml:space="preserve">typed graph, not as if all nodes were semantically identical.</w:t>
      </w:r>
    </w:p>
    <w:bookmarkEnd w:id="13"/>
    <w:bookmarkStart w:id="14" w:name="main-results"/>
    <w:p>
      <w:pPr>
        <w:pStyle w:val="Heading1"/>
      </w:pPr>
      <w:r>
        <w:t xml:space="preserve">Main Results</w:t>
      </w:r>
    </w:p>
    <w:p>
      <w:pPr>
        <w:pStyle w:val="FirstParagraph"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(Dimensional consistency).</w:t>
      </w:r>
      <w:r>
        <w:t xml:space="preserve"> </w:t>
      </w:r>
      <w:r>
        <w:t xml:space="preserve"> </w:t>
      </w:r>
      <w:r>
        <w:rPr>
          <w:i/>
          <w:iCs/>
        </w:rPr>
        <w:t xml:space="preserve">Under Assumption 1, the matrix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an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matrix.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upper-left block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columns. The upper-right block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columns. The lower-left block 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columns. The lower-right block 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columns. Therefore the</w:t>
      </w:r>
      <w:r>
        <w:t xml:space="preserve"> </w:t>
      </w:r>
      <w:r>
        <w:t xml:space="preserve">block matrix has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t xml:space="preserve">columns. ◻</w:t>
      </w:r>
    </w:p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(Weighted undirected heterogeneous graph).</w:t>
      </w:r>
      <w:r>
        <w:t xml:space="preserve"> </w:t>
      </w:r>
      <w:r>
        <w:t xml:space="preserve"> </w:t>
      </w:r>
      <w:r>
        <w:rPr>
          <w:i/>
          <w:iCs/>
        </w:rPr>
        <w:t xml:space="preserve">Under Assumptions 1–3,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 symmetric nonnegative adjacency matrix on</w:t>
      </w:r>
      <w:r>
        <w:rPr>
          <w:i/>
          <w:iCs/>
        </w:rPr>
        <w:t xml:space="preserve"> </w:t>
      </w:r>
      <w:r>
        <w:rPr>
          <w:i/>
          <w:iCs/>
        </w:rPr>
        <w:t xml:space="preserve">the typed node set</w:t>
      </w:r>
      <w:r>
        <w:rPr>
          <w:i/>
          <w:iCs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∪</m:t>
        </m:r>
        <m:r>
          <m:t>C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Nonnegativity follows from nonnegative entries and nonnegative layer weights.</w:t>
      </w:r>
      <w:r>
        <w:t xml:space="preserve"> </w:t>
      </w:r>
      <w:r>
        <w:t xml:space="preserve">For symmetry,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</m:e>
                  <m:e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</m:mr>
                <m:mr>
                  <m:e>
                    <m:r>
                      <m:t>γ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 block locations</w:t>
      </w:r>
      <w:r>
        <w:t xml:space="preserve"> </w:t>
      </w:r>
      <w:r>
        <w:t xml:space="preserve">define three edge types: person-person, code-code, and person-code. Hence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is the adjacency matrix of a weighted undirected heterogeneous graph. ◻</w:t>
      </w:r>
    </w:p>
    <w:p>
      <w:pPr>
        <w:pStyle w:val="BodyText"/>
      </w:pPr>
      <w:r>
        <w:rPr>
          <w:b/>
          <w:bCs/>
        </w:rPr>
        <w:t xml:space="preserve">Corollary 1</w:t>
      </w:r>
      <w:r>
        <w:t xml:space="preserve"> </w:t>
      </w:r>
      <w:r>
        <w:t xml:space="preserve">(Laplacian positive semidefiniteness).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u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, where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u</m:t>
                </m:r>
                <m:r>
                  <m:t>v</m:t>
                </m:r>
              </m:sub>
            </m:sSub>
          </m:e>
        </m:nary>
      </m:oMath>
      <w:r>
        <w:rPr>
          <w:i/>
          <w:iCs/>
        </w:rPr>
        <w:t xml:space="preserve">, and define</w:t>
      </w:r>
      <w:r>
        <w:rPr>
          <w:i/>
          <w:iCs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Under the assumptions of the theorem,</w:t>
      </w:r>
      <w:r>
        <w:rPr>
          <w:i/>
          <w:iCs/>
        </w:rPr>
        <w:t xml:space="preserve"> </w:t>
      </w:r>
      <m:oMath>
        <m:r>
          <m:t>L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positive semidefinite.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L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v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Thus</w:t>
      </w:r>
      <w:r>
        <w:t xml:space="preserve"> </w:t>
      </w:r>
      <m:oMath>
        <m:r>
          <m:t>L</m:t>
        </m:r>
        <m:r>
          <m:rPr>
            <m:sty m:val="p"/>
          </m:rPr>
          <m:t>≽</m:t>
        </m:r>
        <m:r>
          <m:t>0</m:t>
        </m:r>
      </m:oMath>
      <w:r>
        <w:t xml:space="preserve">. ◻</w:t>
      </w:r>
    </w:p>
    <w:p>
      <w:pPr>
        <w:pStyle w:val="BodyText"/>
      </w:pPr>
      <w:r>
        <w:rPr>
          <w:b/>
          <w:bCs/>
        </w:rPr>
        <w:t xml:space="preserve">Remark 1</w:t>
      </w:r>
      <w:r>
        <w:t xml:space="preserve">.</w:t>
      </w:r>
      <w:r>
        <w:t xml:space="preserve"> </w:t>
      </w:r>
      <w:r>
        <w:t xml:space="preserve"> </w:t>
      </w:r>
      <w:r>
        <w:t xml:space="preserve">This result concerns the graph Laplacian, not the adjacency matrix itself. A</w:t>
      </w:r>
      <w:r>
        <w:t xml:space="preserve"> </w:t>
      </w:r>
      <w:r>
        <w:t xml:space="preserve">nonnegative symmetric adjacency matrix need not be positive semidefinite. For</w:t>
      </w:r>
      <w:r>
        <w:t xml:space="preserve"> </w:t>
      </w:r>
      <w:r>
        <w:t xml:space="preserve">example,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Proposition 2</w:t>
      </w:r>
      <w:r>
        <w:t xml:space="preserve"> </w:t>
      </w:r>
      <w:r>
        <w:t xml:space="preserve">(Coherent boundary cases).</w:t>
      </w:r>
      <w:r>
        <w:t xml:space="preserve"> </w:t>
      </w:r>
      <w:r>
        <w:t xml:space="preserve"> </w:t>
      </w:r>
      <w:r>
        <w:rPr>
          <w:i/>
          <w:iCs/>
        </w:rPr>
        <w:t xml:space="preserve">The SENA formula has the following mathematically coherent limits: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the social and epistemic layers are disconnected.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the graph is a pure person-code bipartite graph.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the formula reduces to a disconnected social block and</w:t>
      </w:r>
      <w:r>
        <w:rPr>
          <w:i/>
          <w:iCs/>
        </w:rPr>
        <w:t xml:space="preserve"> </w:t>
      </w:r>
      <w:r>
        <w:rPr>
          <w:i/>
          <w:iCs/>
        </w:rPr>
        <w:t xml:space="preserve">epistemic block.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person-person social edges are suppressed.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code-code epistemic edges are suppressed.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Each statement follows by substituting the specified zero value into</w:t>
      </w:r>
      <w:r>
        <w:t xml:space="preserve"> </w:t>
      </w:r>
      <w:r>
        <w:t xml:space="preserve">the fusion matrix and reading the remaining nonzero blocks. ◻</w:t>
      </w:r>
    </w:p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(No direct contradiction with ENA projection).</w:t>
      </w:r>
      <w:r>
        <w:t xml:space="preserve"> </w:t>
      </w:r>
      <w:r>
        <w:t xml:space="preserve"> </w:t>
      </w:r>
      <w:r>
        <w:rPr>
          <w:i/>
          <w:iCs/>
        </w:rPr>
        <w:t xml:space="preserve">The claim that SNA and ENA cannot be shown in one model because SNA is not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dimensionally reduced while ENA is dimensionally reduced is false when SENA is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constructed as the SENA fusion matrix and then embedded by a declared graph</w:t>
      </w:r>
      <w:r>
        <w:rPr>
          <w:i/>
          <w:iCs/>
        </w:rPr>
        <w:t xml:space="preserve"> </w:t>
      </w:r>
      <w:r>
        <w:rPr>
          <w:i/>
          <w:iCs/>
        </w:rPr>
        <w:t xml:space="preserve">embedding operator.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an embedding operator, for example spectral embedding,</w:t>
      </w:r>
      <w:r>
        <w:t xml:space="preserve"> </w:t>
      </w:r>
      <w:r>
        <w:t xml:space="preserve">Laplacian eigenmaps, multidimensional scaling on graph distances, or a</w:t>
      </w:r>
      <w:r>
        <w:t xml:space="preserve"> </w:t>
      </w:r>
      <w:r>
        <w:t xml:space="preserve">specified force-directed layout. The displayed coordinates are then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coordinates are derived from the joint object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, not by placing raw</w:t>
      </w:r>
      <w:r>
        <w:t xml:space="preserve"> </w:t>
      </w:r>
      <w:r>
        <w:t xml:space="preserve">SNA nodes into a pre-existing ENA projection. Hence the dimensionality of a</w:t>
      </w:r>
      <w:r>
        <w:t xml:space="preserve"> </w:t>
      </w:r>
      <w:r>
        <w:t xml:space="preserve">prior ENA display does not prevent a joint SENA embedding. What is invalid is a</w:t>
      </w:r>
      <w:r>
        <w:t xml:space="preserve"> </w:t>
      </w:r>
      <w:r>
        <w:t xml:space="preserve">different operation: visually overlaying a raw social graph onto an ENA space</w:t>
      </w:r>
      <w:r>
        <w:t xml:space="preserve"> </w:t>
      </w:r>
      <w:r>
        <w:t xml:space="preserve">and then interpreting all cross-type distances as if they came from one common</w:t>
      </w:r>
      <w:r>
        <w:t xml:space="preserve"> </w:t>
      </w:r>
      <w:r>
        <w:t xml:space="preserve">model. ◻</w:t>
      </w:r>
    </w:p>
    <w:bookmarkEnd w:id="14"/>
    <w:bookmarkStart w:id="15" w:name="person-code-pair-attribution"/>
    <w:p>
      <w:pPr>
        <w:pStyle w:val="Heading1"/>
      </w:pPr>
      <w:r>
        <w:t xml:space="preserve">Person-Code-Pair Attribution</w:t>
      </w:r>
    </w:p>
    <w:p>
      <w:pPr>
        <w:pStyle w:val="FirstParagraph"/>
      </w:pPr>
      <w:r>
        <w:t xml:space="preserve">The bridge matrix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answers which person contributed to which code. ENA</w:t>
      </w:r>
      <w:r>
        <w:t xml:space="preserve"> </w:t>
      </w:r>
      <w:r>
        <w:t xml:space="preserve">edges, however, are code-code relations. To attribute an ENA edge to persons,</w:t>
      </w:r>
      <w:r>
        <w:t xml:space="preserve"> </w:t>
      </w:r>
      <w:r>
        <w:t xml:space="preserve">define a person-code-pair tensor or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contribution of 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to the code pair 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compatible estimator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t</m:t>
              </m:r>
              <m:r>
                <m:t>a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appropriate for person-code bridge visualization, while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more appropriate for claims such as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supported the</w:t>
      </w:r>
      <w:r>
        <w:t xml:space="preserve"> </w:t>
      </w:r>
      <w:r>
        <w:t xml:space="preserve">Evidence-Explanation connection.”</w:t>
      </w:r>
      <w:r>
        <w:t xml:space="preserve"> </w:t>
      </w:r>
      <w:r>
        <w:t xml:space="preserve">The current SENA implementation includes</w:t>
      </w:r>
      <w:r>
        <w:t xml:space="preserve"> </w:t>
      </w:r>
      <w:r>
        <w:t xml:space="preserve">such a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block for reporting person-code-pair contribution.</w:t>
      </w:r>
    </w:p>
    <w:bookmarkEnd w:id="15"/>
    <w:bookmarkStart w:id="16" w:name="normalization-and-identifiability"/>
    <w:p>
      <w:pPr>
        <w:pStyle w:val="Heading1"/>
      </w:pPr>
      <w:r>
        <w:t xml:space="preserve">Normalization and Identifiability</w:t>
      </w:r>
    </w:p>
    <w:p>
      <w:pPr>
        <w:pStyle w:val="FirstParagraph"/>
      </w:pPr>
      <w:r>
        <w:t xml:space="preserve">The layer weights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 </w:t>
      </w:r>
      <w:r>
        <w:t xml:space="preserve">are interpretable only relative to</w:t>
      </w:r>
      <w:r>
        <w:t xml:space="preserve"> </w:t>
      </w:r>
      <w:r>
        <w:t xml:space="preserve">the normalization. If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 rescaled arbitrarily, then the same visual</w:t>
      </w:r>
      <w:r>
        <w:t xml:space="preserve"> </w:t>
      </w:r>
      <w:r>
        <w:t xml:space="preserve">or graph-theoretic output can be produced by compensating changes in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. Thus the parameters are not intrinsically identifiable</w:t>
      </w:r>
      <w:r>
        <w:t xml:space="preserve"> </w:t>
      </w:r>
      <w:r>
        <w:t xml:space="preserve">without a normalization convention.</w:t>
      </w:r>
    </w:p>
    <w:p>
      <w:pPr>
        <w:pStyle w:val="BodyText"/>
      </w:pPr>
      <w:r>
        <w:rPr>
          <w:b/>
          <w:bCs/>
        </w:rPr>
        <w:t xml:space="preserve">Proposition 3</w:t>
      </w:r>
      <w:r>
        <w:t xml:space="preserve"> </w:t>
      </w:r>
      <w:r>
        <w:t xml:space="preserve">(Scale dependence).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 Replacing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t>S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W</m:t>
            </m:r>
          </m:sub>
        </m:sSub>
        <m:r>
          <m:t>W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replacing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,</m:t>
          </m:r>
          <m:r>
            <m:t>γ</m:t>
          </m:r>
          <m:r>
            <m:t> </m:t>
          </m:r>
          <m:r>
            <m:rPr>
              <m:nor/>
              <m:sty m:val="p"/>
            </m:rPr>
            <m:t>by</m:t>
          </m:r>
          <m:r>
            <m:t> </m:t>
          </m:r>
          <m:r>
            <m:t>α</m:t>
          </m:r>
          <m:r>
            <m:rPr>
              <m:sty m:val="p"/>
            </m:rPr>
            <m:t>/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β</m:t>
          </m:r>
          <m:r>
            <m:rPr>
              <m:sty m:val="p"/>
            </m:rPr>
            <m:t>/</m:t>
          </m:r>
          <m:sSub>
            <m:e>
              <m:r>
                <m:t>c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γ</m:t>
          </m:r>
          <m:r>
            <m:rPr>
              <m:sty m:val="p"/>
            </m:rPr>
            <m:t>/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leaves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unchanged.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Substitute the rescaled matrices and rescaled weights into</w:t>
      </w:r>
      <w:r>
        <w:t xml:space="preserve"> </w:t>
      </w:r>
      <w:r>
        <w:t xml:space="preserve">the fusion matrix. Each block is unchanged. ◻</w:t>
      </w:r>
    </w:p>
    <w:p>
      <w:pPr>
        <w:pStyle w:val="BodyText"/>
      </w:pPr>
      <w:r>
        <w:rPr>
          <w:b/>
          <w:bCs/>
        </w:rPr>
        <w:t xml:space="preserve">Corollary 2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Any empirical SENA report must disclose the normalization rule before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interpreting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rPr>
          <w:i/>
          <w:iCs/>
        </w:rPr>
        <w:t xml:space="preserve">.</w:t>
      </w:r>
    </w:p>
    <w:bookmarkEnd w:id="16"/>
    <w:bookmarkStart w:id="17" w:name="directed-and-temporal-extensions"/>
    <w:p>
      <w:pPr>
        <w:pStyle w:val="Heading1"/>
      </w:pPr>
      <w:r>
        <w:t xml:space="preserve">Directed and Temporal Extensions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≠</m:t>
        </m:r>
        <m:sSup>
          <m:e>
            <m: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 the same block construction defines a directed</w:t>
      </w:r>
      <w:r>
        <w:t xml:space="preserve"> </w:t>
      </w:r>
      <w:r>
        <w:t xml:space="preserve">heterogeneous graph rather than an undirected one. The Laplacian result above</w:t>
      </w:r>
      <w:r>
        <w:t xml:space="preserve"> </w:t>
      </w:r>
      <w:r>
        <w:t xml:space="preserve">does not apply without additional directed-graph choices or symmetrization.</w:t>
      </w:r>
    </w:p>
    <w:p>
      <w:pPr>
        <w:pStyle w:val="BodyText"/>
      </w:pPr>
      <w:r>
        <w:t xml:space="preserve">A more general directed bridge model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sub>
                    </m:sSub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t>P</m:t>
                        </m:r>
                        <m:r>
                          <m:t>C</m:t>
                        </m:r>
                      </m:sup>
                    </m:sSup>
                  </m:e>
                </m:mr>
                <m:m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t>C</m:t>
                        </m:r>
                        <m:r>
                          <m:t>P</m:t>
                        </m:r>
                      </m:sup>
                    </m:sSup>
                  </m:e>
                  <m:e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P</m:t>
            </m:r>
            <m:r>
              <m:t>C</m:t>
            </m:r>
          </m:sup>
        </m:sSup>
      </m:oMath>
      <w:r>
        <w:t xml:space="preserve"> </w:t>
      </w:r>
      <w:r>
        <w:t xml:space="preserve">represents person-to-code activation 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t>P</m:t>
            </m:r>
          </m:sup>
        </m:sSup>
      </m:oMath>
      <w:r>
        <w:t xml:space="preserve"> </w:t>
      </w:r>
      <w:r>
        <w:t xml:space="preserve">represents</w:t>
      </w:r>
      <w:r>
        <w:t xml:space="preserve"> </w:t>
      </w:r>
      <w:r>
        <w:t xml:space="preserve">code-to-person uptake, attribution, feedback, or recommendation.</w:t>
      </w:r>
    </w:p>
    <w:p>
      <w:pPr>
        <w:pStyle w:val="BodyText"/>
      </w:pPr>
      <w:r>
        <w:t xml:space="preserve">For temporal analysis,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 temporal change can be studied using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 by distances such as Frobenius distance, spectral distance, graph edit</w:t>
      </w:r>
      <w:r>
        <w:t xml:space="preserve"> </w:t>
      </w:r>
      <w:r>
        <w:t xml:space="preserve">distance, or permutation-tested group/time contrasts.</w:t>
      </w:r>
    </w:p>
    <w:bookmarkEnd w:id="17"/>
    <w:bookmarkStart w:id="18" w:name="failure-modes-and-counterexamples"/>
    <w:p>
      <w:pPr>
        <w:pStyle w:val="Heading1"/>
      </w:pPr>
      <w:r>
        <w:t xml:space="preserve">Failure Modes and Counterexamples</w:t>
      </w:r>
    </w:p>
    <w:p>
      <w:pPr>
        <w:pStyle w:val="FirstParagraph"/>
      </w:pPr>
      <w:r>
        <w:rPr>
          <w:b/>
          <w:bCs/>
        </w:rPr>
        <w:t xml:space="preserve">Example 1</w:t>
      </w:r>
      <w:r>
        <w:t xml:space="preserve"> </w:t>
      </w:r>
      <w:r>
        <w:t xml:space="preserve">(Projection error).</w:t>
      </w:r>
      <w:r>
        <w:t xml:space="preserve"> </w:t>
      </w:r>
      <w:r>
        <w:t xml:space="preserve"> </w:t>
      </w:r>
      <w:r>
        <w:t xml:space="preserve">If a researcher places person nodes from an SNA graph onto a previously</w:t>
      </w:r>
      <w:r>
        <w:t xml:space="preserve"> </w:t>
      </w:r>
      <w:r>
        <w:t xml:space="preserve">computed ENA unit space and interprets person-code distances as distances from</w:t>
      </w:r>
      <w:r>
        <w:t xml:space="preserve"> </w:t>
      </w:r>
      <w:r>
        <w:t xml:space="preserve">a common model, the interpretation is invalid. The coordinates were not jointly</w:t>
      </w:r>
      <w:r>
        <w:t xml:space="preserve"> </w:t>
      </w:r>
      <w:r>
        <w:t xml:space="preserve">estimated from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 </w:t>
      </w:r>
      <w:r>
        <w:t xml:space="preserve">(Layer dominance).</w:t>
      </w:r>
      <w:r>
        <w:t xml:space="preserve"> 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contains counts in the hundreds while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contain binary</w:t>
      </w:r>
      <w:r>
        <w:t xml:space="preserve"> </w:t>
      </w:r>
      <w:r>
        <w:t xml:space="preserve">values, then centrality or layout on the unnormalized matrix is dominated by</w:t>
      </w:r>
      <w:r>
        <w:t xml:space="preserve"> </w:t>
      </w:r>
      <w:r>
        <w:t xml:space="preserve">the social layer. This is a scale artifact, not a substantive social-epistemic</w:t>
      </w:r>
      <w:r>
        <w:t xml:space="preserve"> </w:t>
      </w:r>
      <w:r>
        <w:t xml:space="preserve">finding.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 </w:t>
      </w:r>
      <w:r>
        <w:t xml:space="preserve">(Coding unreliability).</w:t>
      </w:r>
      <w:r>
        <w:t xml:space="preserve"> </w:t>
      </w:r>
      <w:r>
        <w:t xml:space="preserve"> </w:t>
      </w:r>
      <w:r>
        <w:t xml:space="preserve">If code assignments are unstable, then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inherit that</w:t>
      </w:r>
      <w:r>
        <w:t xml:space="preserve"> </w:t>
      </w:r>
      <w:r>
        <w:t xml:space="preserve">instability. A formally valid matrix can still be empirically unreliable.</w:t>
      </w:r>
    </w:p>
    <w:bookmarkEnd w:id="18"/>
    <w:bookmarkStart w:id="19" w:name="statistical-validation-framework"/>
    <w:p>
      <w:pPr>
        <w:pStyle w:val="Heading1"/>
      </w:pPr>
      <w:r>
        <w:t xml:space="preserve">Statistical Validation Framework</w:t>
      </w:r>
    </w:p>
    <w:p>
      <w:pPr>
        <w:pStyle w:val="FirstParagraph"/>
      </w:pPr>
      <w:r>
        <w:t xml:space="preserve">A publication-grade SENA study should report:</w:t>
      </w:r>
    </w:p>
    <w:p>
      <w:pPr>
        <w:numPr>
          <w:ilvl w:val="0"/>
          <w:numId w:val="1002"/>
        </w:numPr>
      </w:pPr>
      <w:r>
        <w:t xml:space="preserve">the data contract: persons, interactions, windows/stanzas, coded</w:t>
      </w:r>
      <w:r>
        <w:t xml:space="preserve"> </w:t>
      </w:r>
      <w:r>
        <w:t xml:space="preserve">segments, and codebook;</w:t>
      </w:r>
    </w:p>
    <w:p>
      <w:pPr>
        <w:numPr>
          <w:ilvl w:val="0"/>
          <w:numId w:val="1002"/>
        </w:numPr>
      </w:pPr>
      <w:r>
        <w:t xml:space="preserve">exact formulas for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, and, if used,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the normalization rule;</w:t>
      </w:r>
    </w:p>
    <w:p>
      <w:pPr>
        <w:numPr>
          <w:ilvl w:val="0"/>
          <w:numId w:val="1002"/>
        </w:numPr>
      </w:pPr>
      <w:r>
        <w:t xml:space="preserve">sensitivity analyses over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the embedding operator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, including random seed if stochastic;</w:t>
      </w:r>
    </w:p>
    <w:p>
      <w:pPr>
        <w:numPr>
          <w:ilvl w:val="0"/>
          <w:numId w:val="1002"/>
        </w:numPr>
      </w:pPr>
      <w:r>
        <w:t xml:space="preserve">coding reliability or human-reviewed AI coding procedures;</w:t>
      </w:r>
    </w:p>
    <w:p>
      <w:pPr>
        <w:numPr>
          <w:ilvl w:val="0"/>
          <w:numId w:val="1002"/>
        </w:numPr>
      </w:pPr>
      <w:r>
        <w:t xml:space="preserve">evidence traceability from each edge to source records;</w:t>
      </w:r>
    </w:p>
    <w:p>
      <w:pPr>
        <w:numPr>
          <w:ilvl w:val="0"/>
          <w:numId w:val="1002"/>
        </w:numPr>
      </w:pPr>
      <w:r>
        <w:t xml:space="preserve">null models or resampling tests for group and temporal claims.</w:t>
      </w:r>
    </w:p>
    <w:p>
      <w:pPr>
        <w:pStyle w:val="FirstParagraph"/>
      </w:pPr>
      <w:r>
        <w:t xml:space="preserve">Useful null models include code-label shuffling within learners, social-edge</w:t>
      </w:r>
      <w:r>
        <w:t xml:space="preserve"> </w:t>
      </w:r>
      <w:r>
        <w:t xml:space="preserve">rewiring with degree preservation, stanza membership shuffling within temporal</w:t>
      </w:r>
      <w:r>
        <w:t xml:space="preserve"> </w:t>
      </w:r>
      <w:r>
        <w:t xml:space="preserve">bands, group-label permutation, and bootstrap resampling of windows.</w:t>
      </w:r>
    </w:p>
    <w:bookmarkEnd w:id="19"/>
    <w:bookmarkStart w:id="20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formal analysis supports the mathematical reasonableness of the SENA</w:t>
      </w:r>
      <w:r>
        <w:t xml:space="preserve"> </w:t>
      </w:r>
      <w:r>
        <w:t xml:space="preserve">formula, but it also narrows the permissible interpretation. The formula does</w:t>
      </w:r>
      <w:r>
        <w:t xml:space="preserve"> </w:t>
      </w:r>
      <w:r>
        <w:t xml:space="preserve">not magically convert SNA and ENA into one latent space. Rather, it constructs a</w:t>
      </w:r>
      <w:r>
        <w:t xml:space="preserve"> </w:t>
      </w:r>
      <w:r>
        <w:t xml:space="preserve">joint typed graph. A shared coordinate system becomes meaningful only after a</w:t>
      </w:r>
      <w:r>
        <w:t xml:space="preserve"> </w:t>
      </w:r>
      <w:r>
        <w:t xml:space="preserve">specified embedding or matrix factorization is applied to that joint graph.</w:t>
      </w:r>
    </w:p>
    <w:p>
      <w:pPr>
        <w:pStyle w:val="BodyText"/>
      </w:pPr>
      <w:r>
        <w:t xml:space="preserve">The most defensible theoretical language is therefore:</w:t>
      </w:r>
    </w:p>
    <w:p>
      <w:pPr>
        <w:pStyle w:val="BlockText"/>
      </w:pPr>
      <w:r>
        <w:t xml:space="preserve">SENA represents collaborative learning as a typed social-epistemic graph whose</w:t>
      </w:r>
      <w:r>
        <w:t xml:space="preserve"> </w:t>
      </w:r>
      <w:r>
        <w:t xml:space="preserve">supra-adjacency matrix combines person-person social ties, code-code epistemic</w:t>
      </w:r>
      <w:r>
        <w:t xml:space="preserve"> </w:t>
      </w:r>
      <w:r>
        <w:t xml:space="preserve">co-occurrences, and person-code contribution bridges.</w:t>
      </w:r>
    </w:p>
    <w:p>
      <w:pPr>
        <w:pStyle w:val="FirstParagraph"/>
      </w:pPr>
      <w:r>
        <w:t xml:space="preserve">This wording connects SENA to established mathematics while preserving its</w:t>
      </w:r>
      <w:r>
        <w:t xml:space="preserve"> </w:t>
      </w:r>
      <w:r>
        <w:t xml:space="preserve">substantive contribution for learning analytics.</w:t>
      </w:r>
    </w:p>
    <w:bookmarkEnd w:id="20"/>
    <w:bookmarkStart w:id="2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Under explicit dimensional, nonnegativity, symmetry, and normalization</w:t>
      </w:r>
      <w:r>
        <w:t xml:space="preserve"> </w:t>
      </w:r>
      <w:r>
        <w:t xml:space="preserve">conditions, the SENA fusion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</m:e>
                  <m:e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</m:mr>
                <m:mr>
                  <m:e>
                    <m:r>
                      <m:t>γ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a valid weighted typed adjacency matrix. Its graph Laplacian is positive</w:t>
      </w:r>
      <w:r>
        <w:t xml:space="preserve"> </w:t>
      </w:r>
      <w:r>
        <w:t xml:space="preserve">semidefinite in the undirected case, boundary cases reduce to recognizable SNA,</w:t>
      </w:r>
      <w:r>
        <w:t xml:space="preserve"> </w:t>
      </w:r>
      <w:r>
        <w:t xml:space="preserve">ENA, and bipartite submodels, and joint embeddings are mathematically</w:t>
      </w:r>
      <w:r>
        <w:t xml:space="preserve"> </w:t>
      </w:r>
      <w:r>
        <w:t xml:space="preserve">permissible when they are computed from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itself. The formula becomes a</w:t>
      </w:r>
      <w:r>
        <w:t xml:space="preserve"> </w:t>
      </w:r>
      <w:r>
        <w:t xml:space="preserve">rigorous research method only when matrix construction, normalization,</w:t>
      </w:r>
      <w:r>
        <w:t xml:space="preserve"> </w:t>
      </w:r>
      <w:r>
        <w:t xml:space="preserve">embedding, statistical testing, and evidence traceability are fully specified.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Bowman, D. A., Swiecki, Z., Cai, Z., Eagan, B., Linder, R., Ruis, A. R., ... &amp;</w:t>
      </w:r>
      <w:r>
        <w:t xml:space="preserve"> </w:t>
      </w:r>
      <w:r>
        <w:t xml:space="preserve">Shaffer, D. W. (2021). The mathematical foundations of epistemic network</w:t>
      </w:r>
      <w:r>
        <w:t xml:space="preserve"> </w:t>
      </w:r>
      <w:r>
        <w:t xml:space="preserve">analysis. In A. R. Ruis &amp; S. B. Lee (Eds.),</w:t>
      </w:r>
      <w:r>
        <w:t xml:space="preserve"> </w:t>
      </w:r>
      <w:r>
        <w:rPr>
          <w:i/>
          <w:iCs/>
        </w:rPr>
        <w:t xml:space="preserve">Advances in Quantitative</w:t>
      </w:r>
      <w:r>
        <w:rPr>
          <w:i/>
          <w:iCs/>
        </w:rPr>
        <w:t xml:space="preserve"> </w:t>
      </w:r>
      <w:r>
        <w:rPr>
          <w:i/>
          <w:iCs/>
        </w:rPr>
        <w:t xml:space="preserve">Ethnography</w:t>
      </w:r>
      <w:r>
        <w:t xml:space="preserve"> </w:t>
      </w:r>
      <w:r>
        <w:t xml:space="preserve">(pp. 91–105). Springer.</w:t>
      </w:r>
      <w:r>
        <w:t xml:space="preserve"> </w:t>
      </w:r>
      <w:hyperlink r:id="rId21">
        <w:r>
          <w:rPr>
            <w:rStyle w:val="Hyperlink"/>
          </w:rPr>
          <w:t xml:space="preserve">https://doi.org/10.1007/978-3-030-67788-6_7</w:t>
        </w:r>
      </w:hyperlink>
      <w:r>
        <w:t xml:space="preserve">.</w:t>
      </w:r>
    </w:p>
    <w:p>
      <w:pPr>
        <w:pStyle w:val="BodyText"/>
      </w:pPr>
      <w:r>
        <w:t xml:space="preserve">Gasevic, D., Joksimovic, S., Eagan, B. R., &amp; Shaffer, D. W. (2019). SENS:</w:t>
      </w:r>
      <w:r>
        <w:t xml:space="preserve"> </w:t>
      </w:r>
      <w:r>
        <w:t xml:space="preserve">Network analytics to combine social and cognitive perspectives of collaborative</w:t>
      </w:r>
      <w:r>
        <w:t xml:space="preserve"> </w:t>
      </w:r>
      <w:r>
        <w:t xml:space="preserve">learning.</w:t>
      </w:r>
      <w:r>
        <w:t xml:space="preserve"> </w:t>
      </w:r>
      <w:r>
        <w:rPr>
          <w:i/>
          <w:iCs/>
        </w:rPr>
        <w:t xml:space="preserve">Computers in Human Behavior</w:t>
      </w:r>
      <w:r>
        <w:t xml:space="preserve">,</w:t>
      </w:r>
      <w:r>
        <w:t xml:space="preserve"> </w:t>
      </w:r>
      <w:r>
        <w:rPr>
          <w:i/>
          <w:iCs/>
        </w:rPr>
        <w:t xml:space="preserve">92</w:t>
      </w:r>
      <w:r>
        <w:t xml:space="preserve">, 562–577.</w:t>
      </w:r>
      <w:r>
        <w:t xml:space="preserve"> </w:t>
      </w:r>
      <w:hyperlink r:id="rId22">
        <w:r>
          <w:rPr>
            <w:rStyle w:val="Hyperlink"/>
          </w:rPr>
          <w:t xml:space="preserve">https://doi.org/10.1016/j.chb.2018.07.003</w:t>
        </w:r>
      </w:hyperlink>
      <w:r>
        <w:t xml:space="preserve">.</w:t>
      </w:r>
    </w:p>
    <w:p>
      <w:pPr>
        <w:pStyle w:val="BodyText"/>
      </w:pPr>
      <w:r>
        <w:t xml:space="preserve">Kivela, M., Arenas, A., Barthelemy, M., Gleeson, J. P., Moreno, Y., &amp; Porter,</w:t>
      </w:r>
      <w:r>
        <w:t xml:space="preserve"> </w:t>
      </w:r>
      <w:r>
        <w:t xml:space="preserve">M. A. (2014). Multilayer networks.</w:t>
      </w:r>
      <w:r>
        <w:t xml:space="preserve"> </w:t>
      </w:r>
      <w:r>
        <w:rPr>
          <w:i/>
          <w:iCs/>
        </w:rPr>
        <w:t xml:space="preserve">Journal of Complex Networks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(3), 203–271.</w:t>
      </w:r>
      <w:r>
        <w:t xml:space="preserve"> </w:t>
      </w:r>
      <w:hyperlink r:id="rId23">
        <w:r>
          <w:rPr>
            <w:rStyle w:val="Hyperlink"/>
          </w:rPr>
          <w:t xml:space="preserve">https://doi.org/10.1093/comnet/cnu016</w:t>
        </w:r>
      </w:hyperlink>
      <w:r>
        <w:t xml:space="preserve">.</w:t>
      </w:r>
    </w:p>
    <w:p>
      <w:pPr>
        <w:pStyle w:val="BodyText"/>
      </w:pPr>
      <w:r>
        <w:t xml:space="preserve">Mucha, P. J., Richardson, T., Macon, K., Porter, M. A., &amp; Onnela, J.-P.</w:t>
      </w:r>
      <w:r>
        <w:t xml:space="preserve"> </w:t>
      </w:r>
      <w:r>
        <w:t xml:space="preserve">(2010). Community structure in time-dependent, multiscale, and multiplex</w:t>
      </w:r>
      <w:r>
        <w:t xml:space="preserve"> </w:t>
      </w:r>
      <w:r>
        <w:t xml:space="preserve">networks.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rPr>
          <w:i/>
          <w:iCs/>
        </w:rPr>
        <w:t xml:space="preserve">328</w:t>
      </w:r>
      <w:r>
        <w:t xml:space="preserve">(5980), 876–878.</w:t>
      </w:r>
      <w:r>
        <w:t xml:space="preserve"> </w:t>
      </w:r>
      <w:hyperlink r:id="rId24">
        <w:r>
          <w:rPr>
            <w:rStyle w:val="Hyperlink"/>
          </w:rPr>
          <w:t xml:space="preserve">https://doi.org/10.1126/science.1184819</w:t>
        </w:r>
      </w:hyperlink>
      <w:r>
        <w:t xml:space="preserve">.</w:t>
      </w:r>
    </w:p>
    <w:p>
      <w:pPr>
        <w:pStyle w:val="BodyText"/>
      </w:pPr>
      <w:r>
        <w:t xml:space="preserve">Shaffer, D. W., Collier, W., &amp; Ruis, A. R. (2016). A tutorial on epistemic</w:t>
      </w:r>
      <w:r>
        <w:t xml:space="preserve"> </w:t>
      </w:r>
      <w:r>
        <w:t xml:space="preserve">network analysis: Analyzing the structure of connections in cognitive, social,</w:t>
      </w:r>
      <w:r>
        <w:t xml:space="preserve"> </w:t>
      </w:r>
      <w:r>
        <w:t xml:space="preserve">and interaction data.</w:t>
      </w:r>
      <w:r>
        <w:t xml:space="preserve"> </w:t>
      </w:r>
      <w:r>
        <w:rPr>
          <w:i/>
          <w:iCs/>
        </w:rPr>
        <w:t xml:space="preserve">Journal of Learning Analytics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(3),</w:t>
      </w:r>
      <w:r>
        <w:t xml:space="preserve"> </w:t>
      </w:r>
      <w:r>
        <w:t xml:space="preserve">9–45.</w:t>
      </w:r>
      <w:r>
        <w:t xml:space="preserve"> </w:t>
      </w:r>
      <w:hyperlink r:id="rId25">
        <w:r>
          <w:rPr>
            <w:rStyle w:val="Hyperlink"/>
          </w:rPr>
          <w:t xml:space="preserve">https://doi.org/10.18608/jla.2016.33.3</w:t>
        </w:r>
      </w:hyperlink>
      <w:r>
        <w:t xml:space="preserve">.</w:t>
      </w:r>
    </w:p>
    <w:p>
      <w:pPr>
        <w:pStyle w:val="BodyText"/>
      </w:pPr>
      <w:r>
        <w:t xml:space="preserve">Siebert-Evenstone, A., Arastoopour Irgens, G., Collier, W., Swiecki, Z.,</w:t>
      </w:r>
      <w:r>
        <w:t xml:space="preserve"> </w:t>
      </w:r>
      <w:r>
        <w:t xml:space="preserve">Ruis, A. R., &amp; Williamson Shaffer, D. (2017). In search of conversational</w:t>
      </w:r>
      <w:r>
        <w:t xml:space="preserve"> </w:t>
      </w:r>
      <w:r>
        <w:t xml:space="preserve">grain size: Modelling semantic structure using moving stanza windows.</w:t>
      </w:r>
      <w:r>
        <w:t xml:space="preserve"> </w:t>
      </w:r>
      <w:r>
        <w:rPr>
          <w:i/>
          <w:iCs/>
        </w:rPr>
        <w:t xml:space="preserve">Journal of Learning Analytics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(3), 123–139.</w:t>
      </w:r>
      <w:r>
        <w:t xml:space="preserve"> </w:t>
      </w:r>
      <w:hyperlink r:id="rId26">
        <w:r>
          <w:rPr>
            <w:rStyle w:val="Hyperlink"/>
          </w:rPr>
          <w:t xml:space="preserve">https://doi.org/10.18608/jla.2017.43.7</w:t>
        </w:r>
      </w:hyperlink>
      <w:r>
        <w:t xml:space="preserve">.</w:t>
      </w:r>
    </w:p>
    <w:p>
      <w:pPr>
        <w:pStyle w:val="BodyText"/>
      </w:pPr>
      <w:r>
        <w:t xml:space="preserve">Sun, Y., &amp; Han, J. (2012).</w:t>
      </w:r>
      <w:r>
        <w:t xml:space="preserve"> </w:t>
      </w:r>
      <w:r>
        <w:rPr>
          <w:i/>
          <w:iCs/>
        </w:rPr>
        <w:t xml:space="preserve">Mining Heterogeneous Information Networks:</w:t>
      </w:r>
      <w:r>
        <w:rPr>
          <w:i/>
          <w:iCs/>
        </w:rPr>
        <w:t xml:space="preserve"> </w:t>
      </w:r>
      <w:r>
        <w:rPr>
          <w:i/>
          <w:iCs/>
        </w:rPr>
        <w:t xml:space="preserve">Principles and Methodologies</w:t>
      </w:r>
      <w:r>
        <w:t xml:space="preserve">. Morgan &amp; Claypool.</w:t>
      </w:r>
      <w:r>
        <w:t xml:space="preserve"> </w:t>
      </w:r>
      <w:hyperlink r:id="rId27">
        <w:r>
          <w:rPr>
            <w:rStyle w:val="Hyperlink"/>
          </w:rPr>
          <w:t xml:space="preserve">https://doi.org/10.2200/S00433ED1V01Y201207DMK005</w:t>
        </w:r>
      </w:hyperlink>
      <w:r>
        <w:t xml:space="preserve">.</w:t>
      </w:r>
    </w:p>
    <w:p>
      <w:pPr>
        <w:pStyle w:val="BodyText"/>
      </w:pPr>
      <w:r>
        <w:t xml:space="preserve">Swiecki, Z., &amp; Shaffer, D. W. (2020). iSENS: An integrated approach to</w:t>
      </w:r>
      <w:r>
        <w:t xml:space="preserve"> </w:t>
      </w:r>
      <w:r>
        <w:t xml:space="preserve">combining epistemic and social network analyses. In V. Kovanovic, M. Scheffel,</w:t>
      </w:r>
      <w:r>
        <w:t xml:space="preserve"> </w:t>
      </w:r>
      <w:r>
        <w:t xml:space="preserve">N. Pinkwart, &amp; K. Verbert (Eds.),</w:t>
      </w:r>
      <w:r>
        <w:t xml:space="preserve"> </w:t>
      </w:r>
      <w:r>
        <w:rPr>
          <w:i/>
          <w:iCs/>
        </w:rPr>
        <w:t xml:space="preserve">LAK20 Conference Proceedings:</w:t>
      </w:r>
      <w:r>
        <w:rPr>
          <w:i/>
          <w:iCs/>
        </w:rPr>
        <w:t xml:space="preserve"> </w:t>
      </w:r>
      <w:r>
        <w:rPr>
          <w:i/>
          <w:iCs/>
        </w:rPr>
        <w:t xml:space="preserve">Celebrating 10 Years of LAK: Shaping the Future of the Field</w:t>
      </w:r>
      <w:r>
        <w:t xml:space="preserve"> </w:t>
      </w:r>
      <w:r>
        <w:t xml:space="preserve">(pp. 305–313).</w:t>
      </w:r>
      <w:r>
        <w:t xml:space="preserve"> </w:t>
      </w:r>
      <w:r>
        <w:t xml:space="preserve">Association for Computing Machinery.</w:t>
      </w:r>
      <w:r>
        <w:t xml:space="preserve"> </w:t>
      </w:r>
      <w:hyperlink r:id="rId28">
        <w:r>
          <w:rPr>
            <w:rStyle w:val="Hyperlink"/>
          </w:rPr>
          <w:t xml:space="preserve">https://doi.org/10.1145/3375462.3375505</w:t>
        </w:r>
      </w:hyperlink>
      <w:r>
        <w:t xml:space="preserve">.</w:t>
      </w:r>
    </w:p>
    <w:p>
      <w:pPr>
        <w:pStyle w:val="BodyText"/>
      </w:pPr>
      <w:r>
        <w:t xml:space="preserve">Wasserman, S., &amp; Faust, K. (1994).</w:t>
      </w:r>
      <w:r>
        <w:t xml:space="preserve"> </w:t>
      </w:r>
      <w:r>
        <w:rPr>
          <w:i/>
          <w:iCs/>
        </w:rPr>
        <w:t xml:space="preserve">Social Network Analysis: Methods and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</w:t>
      </w:r>
      <w:r>
        <w:t xml:space="preserve">. Cambridge University Press.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doi.org/10.1007/978-3-030-67788-6_7" TargetMode="External" /><Relationship Type="http://schemas.openxmlformats.org/officeDocument/2006/relationships/hyperlink" Id="rId22" Target="https://doi.org/10.1016/j.chb.2018.07.003" TargetMode="External" /><Relationship Type="http://schemas.openxmlformats.org/officeDocument/2006/relationships/hyperlink" Id="rId23" Target="https://doi.org/10.1093/comnet/cnu016" TargetMode="External" /><Relationship Type="http://schemas.openxmlformats.org/officeDocument/2006/relationships/hyperlink" Id="rId24" Target="https://doi.org/10.1126/science.1184819" TargetMode="External" /><Relationship Type="http://schemas.openxmlformats.org/officeDocument/2006/relationships/hyperlink" Id="rId28" Target="https://doi.org/10.1145/3375462.3375505" TargetMode="External" /><Relationship Type="http://schemas.openxmlformats.org/officeDocument/2006/relationships/hyperlink" Id="rId25" Target="https://doi.org/10.18608/jla.2016.33.3" TargetMode="External" /><Relationship Type="http://schemas.openxmlformats.org/officeDocument/2006/relationships/hyperlink" Id="rId26" Target="https://doi.org/10.18608/jla.2017.43.7" TargetMode="External" /><Relationship Type="http://schemas.openxmlformats.org/officeDocument/2006/relationships/hyperlink" Id="rId27" Target="https://doi.org/10.2200/S00433ED1V01Y201207DMK0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i.org/10.1007/978-3-030-67788-6_7" TargetMode="External" /><Relationship Type="http://schemas.openxmlformats.org/officeDocument/2006/relationships/hyperlink" Id="rId22" Target="https://doi.org/10.1016/j.chb.2018.07.003" TargetMode="External" /><Relationship Type="http://schemas.openxmlformats.org/officeDocument/2006/relationships/hyperlink" Id="rId23" Target="https://doi.org/10.1093/comnet/cnu016" TargetMode="External" /><Relationship Type="http://schemas.openxmlformats.org/officeDocument/2006/relationships/hyperlink" Id="rId24" Target="https://doi.org/10.1126/science.1184819" TargetMode="External" /><Relationship Type="http://schemas.openxmlformats.org/officeDocument/2006/relationships/hyperlink" Id="rId28" Target="https://doi.org/10.1145/3375462.3375505" TargetMode="External" /><Relationship Type="http://schemas.openxmlformats.org/officeDocument/2006/relationships/hyperlink" Id="rId25" Target="https://doi.org/10.18608/jla.2016.33.3" TargetMode="External" /><Relationship Type="http://schemas.openxmlformats.org/officeDocument/2006/relationships/hyperlink" Id="rId26" Target="https://doi.org/10.18608/jla.2017.43.7" TargetMode="External" /><Relationship Type="http://schemas.openxmlformats.org/officeDocument/2006/relationships/hyperlink" Id="rId27" Target="https://doi.org/10.2200/S00433ED1V01Y201207DMK0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Formal Analysis of the SENA Fusion Matrix: A Typed Supra-Adjacency Model for Social-Epistemic Network Analysis</dc:title>
  <dc:creator>Draft mathematical note for the SENA project</dc:creator>
  <cp:keywords/>
  <dcterms:created xsi:type="dcterms:W3CDTF">2026-06-07T18:14:31Z</dcterms:created>
  <dcterms:modified xsi:type="dcterms:W3CDTF">2026-06-07T18:14:31Z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Social Network Analysis (SNA) represents relations among persons, while Epistemic Network Analysis (ENA) represents relations among coded epistemic elements. The proposed SENA fusion formula combines a person-person social matrix, a code-code epistemic co-occurrence matrix, and a person-code bridge matrix into one block matrix. This paper gives a formal mathematical analysis of that formula. We show that, under explicit dimensional, nonnegativity, symmetry, and normalization assumptions, the SENA fusion matrix is a valid weighted typed adjacency matrix on a heterogeneous social-epistemic graph. We prove dimensional consistency, symmetry conditions, Laplacian positive semidefiniteness, coherent boundary cases, and the distinction between a joint adjacency model and an ENA projection. We also identify failure modes and statistical validation requirements. The main conclusion is that SENA should be interpreted not as a simple visual overlay of SNA and ENA, but as a typed supra-adjacency representation of a social-epistemic nexus. Its novelty is domain-specific formalization and validation, not the invention of block adjacency matrices themselves.</vt:lpwstr>
  </property>
  <property fmtid="{D5CDD505-2E9C-101B-9397-08002B2CF9AE}" pid="3" name="date">
    <vt:lpwstr>June 8, 2026</vt:lpwstr>
  </property>
</Properties>
</file>