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32"/>
        </w:rPr>
        <w:t>SENA 数学论文审稿回复表</w:t>
      </w:r>
    </w:p>
    <w:p>
      <w:pPr>
        <w:jc w:val="center"/>
      </w:pPr>
      <w:r>
        <w:rPr>
          <w:i/>
          <w:sz w:val="20"/>
        </w:rPr>
        <w:t>Response Table for Review Comments</w:t>
      </w:r>
    </w:p>
    <w:p>
      <w:pPr>
        <w:spacing w:after="120"/>
      </w:pPr>
      <w:r>
        <w:t>说明：本表对应 edited version 中的 21 条 Word comment bubbles。所有回复均已在修订稿中落实或以文本边界说明处理。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  <w:cantSplit/>
        </w:trPr>
        <w:tc>
          <w:tcPr>
            <w:tcW w:type="dxa" w:w="648"/>
            <w:vAlign w:val="center"/>
            <w:shd w:fill="D9EAF7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1296"/>
            <w:vAlign w:val="center"/>
            <w:shd w:fill="D9EAF7"/>
          </w:tcPr>
          <w:p>
            <w:r>
              <w:rPr>
                <w:b/>
                <w:sz w:val="17"/>
              </w:rPr>
              <w:t>来源</w:t>
            </w:r>
          </w:p>
        </w:tc>
        <w:tc>
          <w:tcPr>
            <w:tcW w:type="dxa" w:w="3384"/>
            <w:vAlign w:val="center"/>
            <w:shd w:fill="D9EAF7"/>
          </w:tcPr>
          <w:p>
            <w:r>
              <w:rPr>
                <w:b/>
                <w:sz w:val="17"/>
              </w:rPr>
              <w:t>审稿意见</w:t>
            </w:r>
          </w:p>
        </w:tc>
        <w:tc>
          <w:tcPr>
            <w:tcW w:type="dxa" w:w="4824"/>
            <w:vAlign w:val="center"/>
            <w:shd w:fill="D9EAF7"/>
          </w:tcPr>
          <w:p>
            <w:r>
              <w:rPr>
                <w:b/>
                <w:sz w:val="17"/>
              </w:rPr>
              <w:t>Codex 回复</w:t>
            </w:r>
          </w:p>
        </w:tc>
        <w:tc>
          <w:tcPr>
            <w:tcW w:type="dxa" w:w="2951"/>
            <w:vAlign w:val="center"/>
            <w:shd w:fill="D9EAF7"/>
          </w:tcPr>
          <w:p>
            <w:r>
              <w:rPr>
                <w:b/>
                <w:sz w:val="17"/>
              </w:rPr>
              <w:t>修订位置</w:t>
            </w:r>
          </w:p>
        </w:tc>
        <w:tc>
          <w:tcPr>
            <w:tcW w:type="dxa" w:w="1152"/>
            <w:vAlign w:val="center"/>
            <w:shd w:fill="D9EAF7"/>
          </w:tcPr>
          <w:p>
            <w:r>
              <w:rPr>
                <w:b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R1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Network</w:t>
            </w:r>
          </w:p>
        </w:tc>
        <w:tc>
          <w:tcPr>
            <w:tcW w:type="dxa" w:w="3384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术语边界：heterogeneous / multilayer / supra-adjacency 容易混用。</w:t>
            </w:r>
          </w:p>
        </w:tc>
        <w:tc>
          <w:tcPr>
            <w:tcW w:type="dxa" w:w="4824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接受。标题、摘要、相关文献和讨论均改为 heterogeneous typed block-adjacency model，并限定 supra-adjacency 只是广义 block-representation 用法。</w:t>
            </w:r>
          </w:p>
        </w:tc>
        <w:tc>
          <w:tcPr>
            <w:tcW w:type="dxa" w:w="2951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Title; Abstract; Related Mathematical and Methodological Context; Discussion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Addressed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R2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Network</w:t>
            </w:r>
          </w:p>
        </w:tc>
        <w:tc>
          <w:tcPr>
            <w:tcW w:type="dxa" w:w="3384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B 不一定表示 person 对 code 的贡献，可能只是窗口参与关联。</w:t>
            </w:r>
          </w:p>
        </w:tc>
        <w:tc>
          <w:tcPr>
            <w:tcW w:type="dxa" w:w="4824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接受。Definition 3 和生成式构造已将 B 默认解释为 association/exposure/use；只有 person-specific evidence 或明确归因规则时才称 contribution。</w:t>
            </w:r>
          </w:p>
        </w:tc>
        <w:tc>
          <w:tcPr>
            <w:tcW w:type="dxa" w:w="2951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Empirical Matrices and Admissible Normalization; A Generative Construction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Addressed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R3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Network</w:t>
            </w:r>
          </w:p>
        </w:tc>
        <w:tc>
          <w:tcPr>
            <w:tcW w:type="dxa" w:w="3384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G 不能自动证明 person 支持某条 ENA edge。</w:t>
            </w:r>
          </w:p>
        </w:tc>
        <w:tc>
          <w:tcPr>
            <w:tcW w:type="dxa" w:w="4824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接受。Person-Code-Pair Attribution 已将 G 改为 participation-weighted association tensor，并避免无证据时使用 supported 这类强归因。</w:t>
            </w:r>
          </w:p>
        </w:tc>
        <w:tc>
          <w:tcPr>
            <w:tcW w:type="dxa" w:w="2951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Person-Code-Pair Attribution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Addressed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R4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Network</w:t>
            </w:r>
          </w:p>
        </w:tc>
        <w:tc>
          <w:tcPr>
            <w:tcW w:type="dxa" w:w="3384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embedding 与 force-directed layout 的解释强度不同。</w:t>
            </w:r>
          </w:p>
        </w:tc>
        <w:tc>
          <w:tcPr>
            <w:tcW w:type="dxa" w:w="4824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接受。Theorem 2 后新增段落区分 analytical embedding 与 visual layout，并说明 force-directed layout 默认仅作探索性显示。</w:t>
            </w:r>
          </w:p>
        </w:tc>
        <w:tc>
          <w:tcPr>
            <w:tcW w:type="dxa" w:w="2951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Theorem 2; embedding/layout paragraph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Addressed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R5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Network</w:t>
            </w:r>
          </w:p>
        </w:tc>
        <w:tc>
          <w:tcPr>
            <w:tcW w:type="dxa" w:w="3384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typed graph 中 person 与 code centrality 不宜直接排名比较。</w:t>
            </w:r>
          </w:p>
        </w:tc>
        <w:tc>
          <w:tcPr>
            <w:tcW w:type="dxa" w:w="4824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接受。新增 Typed Centrality and Layout Interpretation，区分 within-type、cross-type、bridge 和 whole-graph typed measures。</w:t>
            </w:r>
          </w:p>
        </w:tc>
        <w:tc>
          <w:tcPr>
            <w:tcW w:type="dxa" w:w="2951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Typed Centrality and Layout Interpretation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Addressed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R6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Network / Linear Algebra</w:t>
            </w:r>
          </w:p>
        </w:tc>
        <w:tc>
          <w:tcPr>
            <w:tcW w:type="dxa" w:w="3384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W 和 S 的 diagonal/self-loop convention 未固定。</w:t>
            </w:r>
          </w:p>
        </w:tc>
        <w:tc>
          <w:tcPr>
            <w:tcW w:type="dxa" w:w="4824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接受。Definitions 1 和 2 现在声明默认 zero diagonal；若 self-loop 或 frequency 有意义，需作为 node attribute 或在明确 convention 下报告。</w:t>
            </w:r>
          </w:p>
        </w:tc>
        <w:tc>
          <w:tcPr>
            <w:tcW w:type="dxa" w:w="2951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Definitions 1-2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Addressed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R7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Network</w:t>
            </w:r>
          </w:p>
        </w:tc>
        <w:tc>
          <w:tcPr>
            <w:tcW w:type="dxa" w:w="3384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W 是 ENA-style co-occurrence object，不是完整 ENA pipeline。</w:t>
            </w:r>
          </w:p>
        </w:tc>
        <w:tc>
          <w:tcPr>
            <w:tcW w:type="dxa" w:w="4824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接受。生成式构造已写明 W 是 ENA-style co-occurrence ingredient before unit-level normalization, rotation, or projection。</w:t>
            </w:r>
          </w:p>
        </w:tc>
        <w:tc>
          <w:tcPr>
            <w:tcW w:type="dxa" w:w="2951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 Generative Construction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Addressed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R8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Network</w:t>
            </w:r>
          </w:p>
        </w:tc>
        <w:tc>
          <w:tcPr>
            <w:tcW w:type="dxa" w:w="3384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null models 应与具体 claims 对应。</w:t>
            </w:r>
          </w:p>
        </w:tc>
        <w:tc>
          <w:tcPr>
            <w:tcW w:type="dxa" w:w="4824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接受。Statistical Validation Framework 新增 claim-to-validation table，逐项连接 claim type、required data、matrix/statistic 和 validation。</w:t>
            </w:r>
          </w:p>
        </w:tc>
        <w:tc>
          <w:tcPr>
            <w:tcW w:type="dxa" w:w="2951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Statistical Validation Framework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Addressed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R9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Linear Algebra</w:t>
            </w:r>
          </w:p>
        </w:tc>
        <w:tc>
          <w:tcPr>
            <w:tcW w:type="dxa" w:w="3384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归一化缺少 domain/codomain、零矩阵处理和结构保持条件。</w:t>
            </w:r>
          </w:p>
        </w:tc>
        <w:tc>
          <w:tcPr>
            <w:tcW w:type="dxa" w:w="4824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接受。Definition 4 改为 Admissible layer normalization，声明维度保持、非负保持、对称保持、N_L(0)=0 和正分母条件。</w:t>
            </w:r>
          </w:p>
        </w:tc>
        <w:tc>
          <w:tcPr>
            <w:tcW w:type="dxa" w:w="2951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Definition 4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Addressed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R10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Linear Algebra</w:t>
            </w:r>
          </w:p>
        </w:tc>
        <w:tc>
          <w:tcPr>
            <w:tcW w:type="dxa" w:w="3384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Theorem 1 实际依赖归一化保持非负性和对称性。</w:t>
            </w:r>
          </w:p>
        </w:tc>
        <w:tc>
          <w:tcPr>
            <w:tcW w:type="dxa" w:w="4824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接受。Theorem 1 条件改为 Under Assumptions 1-4，证明中明确使用 admissible normalization。</w:t>
            </w:r>
          </w:p>
        </w:tc>
        <w:tc>
          <w:tcPr>
            <w:tcW w:type="dxa" w:w="2951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Theorem 1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Addressed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R11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Linear Algebra</w:t>
            </w:r>
          </w:p>
        </w:tc>
        <w:tc>
          <w:tcPr>
            <w:tcW w:type="dxa" w:w="3384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Laplacian PSD 证明需说明 self-loop/degree convention。</w:t>
            </w:r>
          </w:p>
        </w:tc>
        <w:tc>
          <w:tcPr>
            <w:tcW w:type="dxa" w:w="4824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接受。Corollary 1 增补 self-loops under this convention do not affect the quadratic form 的说明。</w:t>
            </w:r>
          </w:p>
        </w:tc>
        <w:tc>
          <w:tcPr>
            <w:tcW w:type="dxa" w:w="2951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Corollary 1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Addressed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R12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Linear Algebra</w:t>
            </w:r>
          </w:p>
        </w:tc>
        <w:tc>
          <w:tcPr>
            <w:tcW w:type="dxa" w:w="3384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Laplacian PSD 不意味着 adjacency PSD，应更醒目标注。</w:t>
            </w:r>
          </w:p>
        </w:tc>
        <w:tc>
          <w:tcPr>
            <w:tcW w:type="dxa" w:w="4824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接受。Remark 1 改为 Adjacency is not a kernel，明确 A_fusion generally not PSD kernel/covariance matrix。</w:t>
            </w:r>
          </w:p>
        </w:tc>
        <w:tc>
          <w:tcPr>
            <w:tcW w:type="dxa" w:w="2951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Remark 1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Addressed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R13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Linear Algebra</w:t>
            </w:r>
          </w:p>
        </w:tc>
        <w:tc>
          <w:tcPr>
            <w:tcW w:type="dxa" w:w="3384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原 Proposition 3 与 normalized formulation 冲突。</w:t>
            </w:r>
          </w:p>
        </w:tc>
        <w:tc>
          <w:tcPr>
            <w:tcW w:type="dxa" w:w="4824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接受。Proposition 3 改为 Unnormalized scale invariance，只适用于 A_raw；随后单独解释 normalized setting 下权重解释依赖 normalization convention。</w:t>
            </w:r>
          </w:p>
        </w:tc>
        <w:tc>
          <w:tcPr>
            <w:tcW w:type="dxa" w:w="2951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Normalization and Identifiability; Proposition 3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Addressed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R14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Linear Algebra</w:t>
            </w:r>
          </w:p>
        </w:tc>
        <w:tc>
          <w:tcPr>
            <w:tcW w:type="dxa" w:w="3384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Directed extension 需要说明 directed Laplacian 选择。</w:t>
            </w:r>
          </w:p>
        </w:tc>
        <w:tc>
          <w:tcPr>
            <w:tcW w:type="dxa" w:w="4824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接受。Directed section 明确 undirected Laplacian 不适用，并列出 out-degree、random-walk、symmetrized 等需要另行声明的选择。</w:t>
            </w:r>
          </w:p>
        </w:tc>
        <w:tc>
          <w:tcPr>
            <w:tcW w:type="dxa" w:w="2951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Directed and Temporal Extensions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Addressed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R15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Linear Algebra</w:t>
            </w:r>
          </w:p>
        </w:tc>
        <w:tc>
          <w:tcPr>
            <w:tcW w:type="dxa" w:w="3384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Directed bridge 应独立声明 B^PC 与 B^CP 的维度。</w:t>
            </w:r>
          </w:p>
        </w:tc>
        <w:tc>
          <w:tcPr>
            <w:tcW w:type="dxa" w:w="4824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接受。已声明 B^PC in R^{n x m}、B^CP in R^{m x n}，并说明二者在真正有向模型中不必为转置。</w:t>
            </w:r>
          </w:p>
        </w:tc>
        <w:tc>
          <w:tcPr>
            <w:tcW w:type="dxa" w:w="2951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Directed and Temporal Extensions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Addressed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R16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Linear Algebra</w:t>
            </w:r>
          </w:p>
        </w:tc>
        <w:tc>
          <w:tcPr>
            <w:tcW w:type="dxa" w:w="3384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Temporal Delta A 需说明 global vs within-time normalization。</w:t>
            </w:r>
          </w:p>
        </w:tc>
        <w:tc>
          <w:tcPr>
            <w:tcW w:type="dxa" w:w="4824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接受。Temporal section 增加 global denominator 与 within-time normalization 的解释差异。</w:t>
            </w:r>
          </w:p>
        </w:tc>
        <w:tc>
          <w:tcPr>
            <w:tcW w:type="dxa" w:w="2951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Directed and Temporal Extensions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Addressed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R17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Codex Synthesis</w:t>
            </w:r>
          </w:p>
        </w:tc>
        <w:tc>
          <w:tcPr>
            <w:tcW w:type="dxa" w:w="3384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Novelty claim 可保留，但需更清楚地与既有理论区分。</w:t>
            </w:r>
          </w:p>
        </w:tc>
        <w:tc>
          <w:tcPr>
            <w:tcW w:type="dxa" w:w="4824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接受。相关段落已强调贡献是 domain-specific formalization and validation，而非发明 block matrices、multilayer graphs 或 supra-adjacency notation。</w:t>
            </w:r>
          </w:p>
        </w:tc>
        <w:tc>
          <w:tcPr>
            <w:tcW w:type="dxa" w:w="2951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Abstract; Related Context; Discussion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Addressed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R18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Codex Synthesis</w:t>
            </w:r>
          </w:p>
        </w:tc>
        <w:tc>
          <w:tcPr>
            <w:tcW w:type="dxa" w:w="3384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Central claim 应依赖新增的 normalization 与 interpretation conventions。</w:t>
            </w:r>
          </w:p>
        </w:tc>
        <w:tc>
          <w:tcPr>
            <w:tcW w:type="dxa" w:w="4824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接受。中心主张已改为 provided that construction, normalization, and interpretation conventions are declared。</w:t>
            </w:r>
          </w:p>
        </w:tc>
        <w:tc>
          <w:tcPr>
            <w:tcW w:type="dxa" w:w="2951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Introduction central claim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Addressed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R19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Codex Synthesis</w:t>
            </w:r>
          </w:p>
        </w:tc>
        <w:tc>
          <w:tcPr>
            <w:tcW w:type="dxa" w:w="3384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正文存在空引用痕迹。</w:t>
            </w:r>
          </w:p>
        </w:tc>
        <w:tc>
          <w:tcPr>
            <w:tcW w:type="dxa" w:w="4824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接受。Introduction 和 Related Context 已恢复 author-year citations，如 Wasserman &amp; Faust, Shaffer et al., Bowman et al., Gasevic et al., Swiecki &amp; Shaffer 等。</w:t>
            </w:r>
          </w:p>
        </w:tc>
        <w:tc>
          <w:tcPr>
            <w:tcW w:type="dxa" w:w="2951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Introduction; Related Context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Addressed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R20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Codex Synthesis</w:t>
            </w:r>
          </w:p>
        </w:tc>
        <w:tc>
          <w:tcPr>
            <w:tcW w:type="dxa" w:w="3384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结论中的 rigorous-method 条件应前移到正文。</w:t>
            </w:r>
          </w:p>
        </w:tc>
        <w:tc>
          <w:tcPr>
            <w:tcW w:type="dxa" w:w="4824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接受。条件已分散落实到 Assumptions、Admissible normalization、Typed interpretation 和 Statistical validation sections。</w:t>
            </w:r>
          </w:p>
        </w:tc>
        <w:tc>
          <w:tcPr>
            <w:tcW w:type="dxa" w:w="2951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Assumptions; Normalization; Typed Centrality; Statistical Validation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Addressed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R21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Codex Synthesis</w:t>
            </w:r>
          </w:p>
        </w:tc>
        <w:tc>
          <w:tcPr>
            <w:tcW w:type="dxa" w:w="3384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References 前的 99 是排版残留。</w:t>
            </w:r>
          </w:p>
        </w:tc>
        <w:tc>
          <w:tcPr>
            <w:tcW w:type="dxa" w:w="4824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接受。clean/edited versions 删除 stray 99，并恢复 References 标题。</w:t>
            </w:r>
          </w:p>
        </w:tc>
        <w:tc>
          <w:tcPr>
            <w:tcW w:type="dxa" w:w="2951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References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Addressed</w:t>
            </w:r>
          </w:p>
        </w:tc>
      </w:tr>
    </w:tbl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