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6.png" ContentType="image/png"/>
  <Override PartName="/word/media/rId23.png" ContentType="image/png"/>
  <Override PartName="/word/media/rId29.png" ContentType="image/png"/>
  <Override PartName="/word/media/rId33.png" ContentType="image/png"/>
  <Override PartName="/word/header1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ns1="http://schemas.openxmlformats.org/drawingml/2006/wordprocessingDrawing" xmlns:ns2="http://schemas.openxmlformats.org/drawingml/2006/main" xmlns:ns3="http://schemas.openxmlformats.org/drawingml/2006/picture" xmlns:r="http://schemas.openxmlformats.org/officeDocument/2006/relationships" xmlns:w="http://schemas.openxmlformats.org/wordprocessingml/2006/main">
  <w:body>
    <w:p>
      <w:pPr>
        <w:pStyle w:val="Title"/>
        <w:jc w:val="center"/>
        <w:ind/>
        <w:spacing w:before="0" w:after="0" w:line="48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  <w:b/>
          <w:bCs/>
        </w:rPr>
        <w:t xml:space="preserve">SENA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  <w:b/>
          <w:bCs/>
        </w:rPr>
        <w:t xml:space="preserve">项目开发计划</w:t>
      </w:r>
    </w:p>
    <w:p>
      <w:pPr>
        <w:pStyle w:val="Subtitle"/>
        <w:jc w:val="center"/>
        <w:ind/>
        <w:spacing w:before="0" w:after="0" w:line="480" w:lineRule="auto"/>
      </w:pP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面向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www.sena.hk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网站与当前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SENA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代码库</w:t>
      </w:r>
    </w:p>
    <w:p>
      <w:pPr>
        <w:pStyle w:val="Author"/>
        <w:jc w:val="center"/>
        <w:ind/>
        <w:spacing w:before="0" w:after="0" w:line="48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Codex automation review for SENA.HK</w:t>
      </w:r>
    </w:p>
    <w:p>
      <w:pPr>
        <w:pStyle w:val="Date"/>
        <w:jc w:val="center"/>
        <w:ind/>
        <w:spacing w:before="0" w:after="0" w:line="48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2026-06-08</w:t>
      </w:r>
    </w:p>
    <w:bookmarkStart w:id="9" w:name="执行摘要"/>
    <w:p>
      <w:pPr>
        <w:pStyle w:val="Heading2"/>
        <w:jc w:val="center"/>
        <w:ind/>
        <w:spacing w:before="0" w:after="0" w:line="480" w:lineRule="auto"/>
        <w:keepNext/>
        <w:pageBreakBefore/>
      </w:pPr>
      <w:r>
        <w:rPr>
          <w:rFonts w:hint="eastAsia" w:ascii="Times New Roman" w:hAnsi="Times New Roman" w:eastAsia="Times New Roman" w:cs="Times New Roman"/>
          <w:sz w:val="24"/>
          <w:szCs w:val="24"/>
          <w:color w:val="000000"/>
          <w:b/>
          <w:bCs/>
        </w:rPr>
        <w:t xml:space="preserve">执行摘要</w:t>
      </w:r>
    </w:p>
    <w:p>
      <w:pPr>
        <w:pStyle w:val="FirstParagraph"/>
        <w:jc w:val="left"/>
        <w:ind w:firstLine="720"/>
        <w:spacing w:before="0" w:after="0" w:line="480" w:lineRule="auto"/>
      </w:pP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本报告面向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www.sena.hk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网站与当前本地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SENA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项目代码库，目标是把已有研究原型、方法文档和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Next.js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代码基础整理为一份可执行的开发计划。当前项目已经不是一个单纯的静态宣传页：</w:t>
      </w:r>
      <w:r>
        <w:rPr>
          <w:rStyle w:val="VerbatimChar"/>
          <w:rFonts w:ascii="Times New Roman" w:hAnsi="Times New Roman" w:eastAsia="Times New Roman" w:cs="Times New Roman"/>
          <w:sz w:val="24"/>
          <w:szCs w:val="24"/>
          <w:color w:val="000000"/>
        </w:rPr>
        <w:t xml:space="preserve">sena-hk-template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中的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4"/>
          <w:szCs w:val="24"/>
          <w:color w:val="000000"/>
        </w:rPr>
        <w:t xml:space="preserve">/workspace/ena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可以通过本地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4"/>
          <w:szCs w:val="24"/>
          <w:color w:val="000000"/>
        </w:rPr>
        <w:t xml:space="preserve">jena-js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运行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ENA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分析，</w:t>
      </w:r>
      <w:r>
        <w:rPr>
          <w:rStyle w:val="VerbatimChar"/>
          <w:rFonts w:ascii="Times New Roman" w:hAnsi="Times New Roman" w:eastAsia="Times New Roman" w:cs="Times New Roman"/>
          <w:sz w:val="24"/>
          <w:szCs w:val="24"/>
          <w:color w:val="000000"/>
        </w:rPr>
        <w:t xml:space="preserve">/workspace/sena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可以从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SENA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五表数据契约构造社会层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4"/>
          <w:szCs w:val="24"/>
          <w:color w:val="000000"/>
        </w:rPr>
        <w:t xml:space="preserve">S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、概念层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4"/>
          <w:szCs w:val="24"/>
          <w:color w:val="000000"/>
        </w:rPr>
        <w:t xml:space="preserve">W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、person-code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桥接层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4"/>
          <w:szCs w:val="24"/>
          <w:color w:val="000000"/>
        </w:rPr>
        <w:t xml:space="preserve">B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、person-code-pair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贡献层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4"/>
          <w:szCs w:val="24"/>
          <w:color w:val="000000"/>
        </w:rPr>
        <w:t xml:space="preserve">G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和加权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fusion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matrix，并在浏览器中呈现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Fusion Canvas、SNA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指标、temporal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windows、evidence inspector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与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JSON/Markdown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报告导出。这个基础足以支持研究演示、教师协作试点和方法论文配套原型。</w:t>
      </w:r>
    </w:p>
    <w:p>
      <w:pPr>
        <w:pStyle w:val="BodyText"/>
        <w:jc w:val="left"/>
        <w:ind w:firstLine="720"/>
        <w:spacing w:before="0" w:after="0" w:line="480" w:lineRule="auto"/>
      </w:pP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但当前项目仍处于高质量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proof of concept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与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research platform template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阶段，而不是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production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SaaS。主要缺口集中在六类：第一，www.sena.hk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当前线上访问在本次自动化检查中返回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502，域名、部署、健康检查与告警需要纳入第一批运维工作；第二，登录和注册页面是企业级体验占位，尚未接入身份认证、角色权限、项目持久化和审计日志；第三，</w:t>
      </w:r>
      <w:r>
        <w:rPr>
          <w:rStyle w:val="VerbatimChar"/>
          <w:rFonts w:ascii="Times New Roman" w:hAnsi="Times New Roman" w:eastAsia="Times New Roman" w:cs="Times New Roman"/>
          <w:sz w:val="24"/>
          <w:szCs w:val="24"/>
          <w:color w:val="000000"/>
        </w:rPr>
        <w:t xml:space="preserve">npm run lint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已可非交互运行并通过，但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test/build/lint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还需要进入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CI；第四，</w:t>
      </w:r>
      <w:r>
        <w:rPr>
          <w:rStyle w:val="VerbatimChar"/>
          <w:rFonts w:ascii="Times New Roman" w:hAnsi="Times New Roman" w:eastAsia="Times New Roman" w:cs="Times New Roman"/>
          <w:sz w:val="24"/>
          <w:szCs w:val="24"/>
          <w:color w:val="000000"/>
        </w:rPr>
        <w:t xml:space="preserve">jena-js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已有随包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Vitest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与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rENA-derived golden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parity，但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benchmark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仍需扩展到更多公开数据集、参数组合和版本化差异说明；第五，</w:t>
      </w:r>
      <w:r>
        <w:rPr>
          <w:rStyle w:val="VerbatimChar"/>
          <w:rFonts w:ascii="Times New Roman" w:hAnsi="Times New Roman" w:eastAsia="Times New Roman" w:cs="Times New Roman"/>
          <w:sz w:val="24"/>
          <w:szCs w:val="24"/>
          <w:color w:val="000000"/>
        </w:rPr>
        <w:t xml:space="preserve">sna.js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已接入核心指标但仍是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starter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port，R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4"/>
          <w:szCs w:val="24"/>
          <w:color w:val="000000"/>
        </w:rPr>
        <w:t xml:space="preserve">sna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库的大量函数仍待移植或明确排除；第六，AI-assisted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interpretation、匿名化、human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review、IRB/consent metadata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与报告模板还没有成为可保存、可审计、可复现的工作流。</w:t>
      </w:r>
    </w:p>
    <w:p>
      <w:pPr>
        <w:pStyle w:val="BodyText"/>
        <w:jc w:val="left"/>
        <w:ind w:firstLine="720"/>
        <w:spacing w:before="0" w:after="0" w:line="480" w:lineRule="auto"/>
      </w:pP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本报告建议将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SENA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的产品愿景定义为“面向教育研究与协作学习改进的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evidence-traceable social-epistemic analytics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platform”。近期不要把方向发散到通用组织监控、政策评分或广义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SaaS，而应把研究、教育和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instructor-facing learning analytics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做深。具体路线是：0-1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个月稳定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POC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和部署；1-3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个月形成研究/教育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pilot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package；3-6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个月补项目平台、身份认证、保存分析与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human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review；6-12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个月进入机构试点，补匿名化、RBAC、审计日志、批处理与报告治理；12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个月后再考虑开放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API、扩展统计模块和更广泛产品化。</w:t>
      </w:r>
    </w:p>
    <w:p>
      <w:pPr>
        <w:pStyle w:val="BodyText"/>
        <w:jc w:val="left"/>
        <w:ind w:firstLine="720"/>
        <w:spacing w:before="0" w:after="0" w:line="480" w:lineRule="auto"/>
      </w:pP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这个路线与项目已有技术形态一致。SENA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的核心优势不是“把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SNA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图和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ENA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图叠在一起”，而是以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4"/>
          <w:szCs w:val="24"/>
          <w:color w:val="000000"/>
        </w:rPr>
        <w:t xml:space="preserve">S/W/B/G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与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fusion matrix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组织数据、证据、参数和解释边界。只要后续开发继续坚持数据契约、benchmark、human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review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和隐私治理，SENA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有机会成为一个既可发表、可教学、可复现，又能被机构逐步采用的研究平台。</w:t>
      </w:r>
    </w:p>
    <w:bookmarkEnd w:id="9"/>
    <w:bookmarkStart w:id="10" w:name="项目愿景与目标用户"/>
    <w:p>
      <w:pPr>
        <w:pStyle w:val="Heading2"/>
        <w:jc w:val="center"/>
        <w:ind/>
        <w:spacing w:before="0" w:after="0" w:line="480" w:lineRule="auto"/>
        <w:keepNext/>
      </w:pPr>
      <w:r>
        <w:rPr>
          <w:rFonts w:hint="eastAsia" w:ascii="Times New Roman" w:hAnsi="Times New Roman" w:eastAsia="Times New Roman" w:cs="Times New Roman"/>
          <w:sz w:val="24"/>
          <w:szCs w:val="24"/>
          <w:color w:val="000000"/>
          <w:b/>
          <w:bCs/>
        </w:rPr>
        <w:t xml:space="preserve">项目愿景与目标用户</w:t>
      </w:r>
    </w:p>
    <w:p>
      <w:pPr>
        <w:pStyle w:val="FirstParagraph"/>
        <w:jc w:val="left"/>
        <w:ind w:firstLine="720"/>
        <w:spacing w:before="0" w:after="0" w:line="48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SENA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的长期愿景应当围绕一个清晰问题展开：在协作学习、教师团队、课程设计和知识建构场景中，研究者经常同时想知道“谁和谁互动”“哪些概念、论证动作或知识建构动作被连接起来”“谁推动了这些概念连接”“这些结构如何随时间变化”。传统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SNA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能解释社会互动位置，却无法说明互动内容；传统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ENA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能解释概念和话语动作之间的连接，却不天然说明这些连接由哪些人、角色或群体推动。SENA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的机会正是在两者之间建立可计算、可视化、可审计的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bridge。</w:t>
      </w:r>
    </w:p>
    <w:p>
      <w:pPr>
        <w:pStyle w:val="BodyText"/>
        <w:jc w:val="left"/>
        <w:ind w:firstLine="720"/>
        <w:spacing w:before="0" w:after="0" w:line="480" w:lineRule="auto"/>
      </w:pP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因此，SENA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不应首先被包装为泛化的数据可视化工具，而应定位为一种有方法论边界的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research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workflow。目标用户可以分为四层。第一层是教育研究者、学习分析研究者和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CSCL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研究团队，他们需要将论坛、课堂转录、教师协作记录、lesson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study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语料或知识建构数据库转化为可发表的图、表、方法说明和证据链。第二层是课程团队、教师教育者和教学改进负责人，他们不一定追求论文发表，但需要用结构化证据复盘活动设计、支架效果、学生小组协作与教师团队对话。第三层是方法开发者和研究助理，他们需要管理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codebook、导入数据、做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benchmark、导出矩阵、复现实验并维护报告。第四层是机构管理者或伦理/数据治理负责人，他们关心权限、去标识化、审计、数据保留和误用边界。</w:t>
      </w:r>
    </w:p>
    <w:p>
      <w:pPr>
        <w:pStyle w:val="BodyText"/>
        <w:jc w:val="left"/>
        <w:ind w:firstLine="720"/>
        <w:spacing w:before="0" w:after="0" w:line="480" w:lineRule="auto"/>
      </w:pP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当前网站已经有面向这些用户的雏形：首页描述了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workflow modules、method、workspace preview、research cases、analytics gallery、ethics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和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docs；</w:t>
      </w:r>
      <w:r>
        <w:rPr>
          <w:rStyle w:val="VerbatimChar"/>
          <w:rFonts w:ascii="Times New Roman" w:hAnsi="Times New Roman" w:eastAsia="Times New Roman" w:cs="Times New Roman"/>
          <w:sz w:val="24"/>
          <w:szCs w:val="24"/>
          <w:color w:val="000000"/>
        </w:rPr>
        <w:t xml:space="preserve">/workspace/ena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提供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jENA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工作区；</w:t>
      </w:r>
      <w:r>
        <w:rPr>
          <w:rStyle w:val="VerbatimChar"/>
          <w:rFonts w:ascii="Times New Roman" w:hAnsi="Times New Roman" w:eastAsia="Times New Roman" w:cs="Times New Roman"/>
          <w:sz w:val="24"/>
          <w:szCs w:val="24"/>
          <w:color w:val="000000"/>
        </w:rPr>
        <w:t xml:space="preserve">/workspace/sena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提供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SENA Fusion Studio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MVP；登录注册页暗示未来的机构级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SSO、ORCID、Google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与计划选择。但目标用户在真实使用时不应被要求先理解全部方法术语。产品上更稳妥的方式是围绕任务组织入口：创建项目、上传数据、选择或导入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codebook、运行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ENA/SNA/SENA、检查证据、保存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snapshot、生成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human-reviewed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report。方法论解释仍然重要，但应嵌入每一步的参数说明、警告和导出元数据。</w:t>
      </w:r>
    </w:p>
    <w:p>
      <w:pPr>
        <w:pStyle w:val="BodyText"/>
        <w:jc w:val="left"/>
        <w:ind/>
        <w:spacing w:before="0" w:after="0" w:line="480" w:lineRule="auto"/>
        <w:keepNext/>
      </w:pP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 xml:space="preserve">Table 1</w:t>
      </w:r>
    </w:p>
    <w:p>
      <w:pPr>
        <w:pStyle w:val="BodyText"/>
        <w:jc w:val="left"/>
        <w:ind/>
        <w:spacing w:before="0" w:after="0" w:line="480" w:lineRule="auto"/>
        <w:keepNext/>
      </w:pPr>
      <w:r>
        <w:rPr>
          <w:i/>
          <w:iCs/>
          <w:rFonts w:ascii="Times New Roman" w:hAnsi="Times New Roman" w:eastAsia="Times New Roman" w:cs="Times New Roman"/>
          <w:sz w:val="24"/>
          <w:szCs w:val="24"/>
          <w:color w:val="000000"/>
        </w:rPr>
        <w:t xml:space="preserve">Target users, core jobs, and product implications</w:t>
      </w:r>
    </w:p>
    <w:tbl>
      <w:tblPr>
        <w:tblStyle w:val="Table"/>
        <w:tblW w:type="dxa" w:w="9360"/>
        <w:tblLayout w:type="fixed"/>
        <w:tblLook w:firstRow="1" w:lastRow="0" w:firstColumn="0" w:lastColumn="0" w:noHBand="0" w:noVBand="0" w:val="0020"/>
        <w:tblBorders>
          <w:top w:val="nil" w:sz="0" w:color="FFFFFF"/>
          <w:bottom w:val="nil" w:sz="0" w:color="FFFFFF"/>
          <w:left w:val="nil" w:sz="0" w:color="FFFFFF"/>
          <w:right w:val="nil" w:sz="0" w:color="FFFFFF"/>
          <w:insideH w:val="nil" w:sz="0" w:color="FFFFFF"/>
          <w:insideV w:val="nil" w:sz="0" w:color="FFFFFF"/>
        </w:tblBorders>
        <w:tblCellMar>
          <w:top w:type="dxa" w:w="120"/>
          <w:bottom w:type="dxa" w:w="120"/>
          <w:left w:type="dxa" w:w="140"/>
          <w:right w:type="dxa" w:w="140"/>
        </w:tblCellMar>
      </w:tblPr>
      <w:tblGrid>
        <w:gridCol w:w="1800"/>
        <w:gridCol w:w="2750"/>
        <w:gridCol w:w="1550"/>
        <w:gridCol w:w="3260"/>
      </w:tblGrid>
      <w:tr>
        <w:trPr>
          <w:tblHeader w:val="on"/>
        </w:trPr>
        <w:tc>
          <w:tcPr>
            <w:tcW w:type="dxa" w:w="1800"/>
            <w:tcBorders>
              <w:top w:val="single" w:sz="8" w:space="0" w:color="000000"/>
              <w:bottom w:val="single" w:sz="8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  <w:b/>
              </w:rPr>
              <w:t xml:space="preserve">用户群体</w:t>
            </w:r>
          </w:p>
        </w:tc>
        <w:tc>
          <w:tcPr>
            <w:tcW w:type="dxa" w:w="2750"/>
            <w:tcBorders>
              <w:top w:val="single" w:sz="8" w:space="0" w:color="000000"/>
              <w:bottom w:val="single" w:sz="8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  <w:b/>
              </w:rPr>
              <w:t xml:space="preserve">主要任务</w:t>
            </w:r>
          </w:p>
        </w:tc>
        <w:tc>
          <w:tcPr>
            <w:tcW w:type="dxa" w:w="1550"/>
            <w:tcBorders>
              <w:top w:val="single" w:sz="8" w:space="0" w:color="000000"/>
              <w:bottom w:val="single" w:sz="8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  <w:b/>
              </w:rPr>
              <w:t xml:space="preserve">当前支持度</w:t>
            </w:r>
          </w:p>
        </w:tc>
        <w:tc>
          <w:tcPr>
            <w:tcW w:type="dxa" w:w="3260"/>
            <w:tcBorders>
              <w:top w:val="single" w:sz="8" w:space="0" w:color="000000"/>
              <w:bottom w:val="single" w:sz="8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  <w:b/>
              </w:rPr>
              <w:t xml:space="preserve">下一步产品含义</w:t>
            </w:r>
          </w:p>
        </w:tc>
      </w:tr>
      <w:tr>
        <w:tc>
          <w:tcPr>
            <w:tcW w:type="dxa" w:w="180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教育/学习分析研究者</w:t>
            </w:r>
          </w:p>
        </w:tc>
        <w:tc>
          <w:tcPr>
            <w:tcW w:type="dxa" w:w="275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导入语料、运行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ENA/SNA/SENA、形成可发表证据</w:t>
            </w:r>
          </w:p>
        </w:tc>
        <w:tc>
          <w:tcPr>
            <w:tcW w:type="dxa" w:w="155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高</w:t>
            </w:r>
          </w:p>
        </w:tc>
        <w:tc>
          <w:tcPr>
            <w:tcW w:type="dxa" w:w="326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优先补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 benchmark、APA </w:t>
            </w: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报告、figure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export、方法说明模板</w:t>
            </w:r>
          </w:p>
        </w:tc>
      </w:tr>
      <w:tr>
        <w:tc>
          <w:tcPr>
            <w:tcW w:type="dxa" w:w="180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教师与课程团队</w:t>
            </w:r>
          </w:p>
        </w:tc>
        <w:tc>
          <w:tcPr>
            <w:tcW w:type="dxa" w:w="275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复盘协作过程、识别阶段变化、连接证据与教学行动</w:t>
            </w:r>
          </w:p>
        </w:tc>
        <w:tc>
          <w:tcPr>
            <w:tcW w:type="dxa" w:w="155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中高</w:t>
            </w:r>
          </w:p>
        </w:tc>
        <w:tc>
          <w:tcPr>
            <w:tcW w:type="dxa" w:w="326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设计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 teacher-facing dashboard、reflection </w:t>
            </w: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prompts、低术语解释</w:t>
            </w:r>
          </w:p>
        </w:tc>
      </w:tr>
      <w:tr>
        <w:tc>
          <w:tcPr>
            <w:tcW w:type="dxa" w:w="180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研究助理/方法开发者</w:t>
            </w:r>
          </w:p>
        </w:tc>
        <w:tc>
          <w:tcPr>
            <w:tcW w:type="dxa" w:w="275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管理数据契约、codebook、参数、版本和导出</w:t>
            </w:r>
          </w:p>
        </w:tc>
        <w:tc>
          <w:tcPr>
            <w:tcW w:type="dxa" w:w="155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中</w:t>
            </w:r>
          </w:p>
        </w:tc>
        <w:tc>
          <w:tcPr>
            <w:tcW w:type="dxa" w:w="326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增加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 project manifest、saved </w:t>
            </w: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analyses、版本化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 codebook</w:t>
            </w:r>
          </w:p>
        </w:tc>
      </w:tr>
      <w:tr>
        <w:tc>
          <w:tcPr>
            <w:tcW w:type="dxa" w:w="180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机构管理员/伦理负责人</w:t>
            </w:r>
          </w:p>
        </w:tc>
        <w:tc>
          <w:tcPr>
            <w:tcW w:type="dxa" w:w="275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审计访问、控制权限、管理匿名化和保留策略</w:t>
            </w:r>
          </w:p>
        </w:tc>
        <w:tc>
          <w:tcPr>
            <w:tcW w:type="dxa" w:w="155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低</w:t>
            </w:r>
          </w:p>
        </w:tc>
        <w:tc>
          <w:tcPr>
            <w:tcW w:type="dxa" w:w="326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后置但必须规划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 RBAC、audit log、consent metadata、retention</w:t>
            </w:r>
          </w:p>
        </w:tc>
      </w:tr>
      <w:tr>
        <w:tc>
          <w:tcPr>
            <w:tcW w:type="dxa" w:w="1800"/>
            <w:tcBorders>
              <w:top w:val="nil" w:sz="0" w:space="0" w:color="000000"/>
              <w:bottom w:val="single" w:sz="8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外部合作者/评审者</w:t>
            </w:r>
          </w:p>
        </w:tc>
        <w:tc>
          <w:tcPr>
            <w:tcW w:type="dxa" w:w="2750"/>
            <w:tcBorders>
              <w:top w:val="nil" w:sz="0" w:space="0" w:color="000000"/>
              <w:bottom w:val="single" w:sz="8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查看报告、复核证据、理解限制</w:t>
            </w:r>
          </w:p>
        </w:tc>
        <w:tc>
          <w:tcPr>
            <w:tcW w:type="dxa" w:w="1550"/>
            <w:tcBorders>
              <w:top w:val="nil" w:sz="0" w:space="0" w:color="000000"/>
              <w:bottom w:val="single" w:sz="8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中</w:t>
            </w:r>
          </w:p>
        </w:tc>
        <w:tc>
          <w:tcPr>
            <w:tcW w:type="dxa" w:w="3260"/>
            <w:tcBorders>
              <w:top w:val="nil" w:sz="0" w:space="0" w:color="000000"/>
              <w:bottom w:val="single" w:sz="8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增加只读分享、review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 status、evidence appendix</w:t>
            </w:r>
          </w:p>
        </w:tc>
      </w:tr>
    </w:tbl>
    <w:p>
      <w:pPr>
        <w:pStyle w:val="BodyText"/>
        <w:jc w:val="left"/>
        <w:ind/>
        <w:spacing w:before="0" w:after="0" w:line="480" w:lineRule="auto"/>
      </w:pPr>
      <w:r>
        <w:rPr>
          <w:i/>
          <w:iCs/>
          <w:rFonts w:ascii="Times New Roman" w:hAnsi="Times New Roman" w:eastAsia="Times New Roman" w:cs="Times New Roman"/>
          <w:sz w:val="24"/>
          <w:szCs w:val="24"/>
          <w:color w:val="000000"/>
        </w:rPr>
        <w:t xml:space="preserve">Note.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当前支持度依据本地代码、README、页面结构、测试结果与已有项目文档判断，不代表真实用户调研结果。</w:t>
      </w:r>
    </w:p>
    <w:bookmarkEnd w:id="10"/>
    <w:bookmarkStart w:id="14" w:name="当前网站与代码库现状"/>
    <w:p>
      <w:pPr>
        <w:pStyle w:val="Heading2"/>
        <w:jc w:val="center"/>
        <w:ind/>
        <w:spacing w:before="0" w:after="0" w:line="480" w:lineRule="auto"/>
        <w:keepNext/>
      </w:pPr>
      <w:r>
        <w:rPr>
          <w:rFonts w:hint="eastAsia" w:ascii="Times New Roman" w:hAnsi="Times New Roman" w:eastAsia="Times New Roman" w:cs="Times New Roman"/>
          <w:sz w:val="24"/>
          <w:szCs w:val="24"/>
          <w:color w:val="000000"/>
          <w:b/>
          <w:bCs/>
        </w:rPr>
        <w:t xml:space="preserve">当前网站与代码库现状</w:t>
      </w:r>
    </w:p>
    <w:p>
      <w:pPr>
        <w:pStyle w:val="FirstParagraph"/>
        <w:jc w:val="left"/>
        <w:ind w:firstLine="720"/>
        <w:spacing w:before="0" w:after="0" w:line="480" w:lineRule="auto"/>
      </w:pP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当前工作区根目录不是一个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Git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仓库，但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4"/>
          <w:szCs w:val="24"/>
          <w:color w:val="000000"/>
        </w:rPr>
        <w:t xml:space="preserve">sena-hk-template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是实际网站项目。项目技术栈包括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Next.js 14 App Router、React 18、TypeScript、Tailwind CSS、Framer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Motion、lucide-react、本地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4"/>
          <w:szCs w:val="24"/>
          <w:color w:val="000000"/>
        </w:rPr>
        <w:t xml:space="preserve">jena-js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和本地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4"/>
          <w:szCs w:val="24"/>
          <w:color w:val="000000"/>
        </w:rPr>
        <w:t xml:space="preserve">sna.js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。</w:t>
      </w:r>
      <w:r>
        <w:rPr>
          <w:rStyle w:val="VerbatimChar"/>
          <w:rFonts w:ascii="Times New Roman" w:hAnsi="Times New Roman" w:eastAsia="Times New Roman" w:cs="Times New Roman"/>
          <w:sz w:val="24"/>
          <w:szCs w:val="24"/>
          <w:color w:val="000000"/>
        </w:rPr>
        <w:t xml:space="preserve">package.json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中核心脚本为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4"/>
          <w:szCs w:val="24"/>
          <w:color w:val="000000"/>
        </w:rPr>
        <w:t xml:space="preserve">dev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  <w:sz w:val="24"/>
          <w:szCs w:val="24"/>
          <w:color w:val="000000"/>
        </w:rPr>
        <w:t xml:space="preserve">build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  <w:sz w:val="24"/>
          <w:szCs w:val="24"/>
          <w:color w:val="000000"/>
        </w:rPr>
        <w:t xml:space="preserve">test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  <w:sz w:val="24"/>
          <w:szCs w:val="24"/>
          <w:color w:val="000000"/>
        </w:rPr>
        <w:t xml:space="preserve">start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和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4"/>
          <w:szCs w:val="24"/>
          <w:color w:val="000000"/>
        </w:rPr>
        <w:t xml:space="preserve">lint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。本轮更新后的运行结果显示：</w:t>
      </w:r>
      <w:r>
        <w:rPr>
          <w:rStyle w:val="VerbatimChar"/>
          <w:rFonts w:ascii="Times New Roman" w:hAnsi="Times New Roman" w:eastAsia="Times New Roman" w:cs="Times New Roman"/>
          <w:sz w:val="24"/>
          <w:szCs w:val="24"/>
          <w:color w:val="000000"/>
        </w:rPr>
        <w:t xml:space="preserve">npm test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在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4"/>
          <w:szCs w:val="24"/>
          <w:color w:val="000000"/>
        </w:rPr>
        <w:t xml:space="preserve">sena-hk-template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中通过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6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个测试文件、69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项测试；</w:t>
      </w:r>
      <w:r>
        <w:rPr>
          <w:rStyle w:val="VerbatimChar"/>
          <w:rFonts w:ascii="Times New Roman" w:hAnsi="Times New Roman" w:eastAsia="Times New Roman" w:cs="Times New Roman"/>
          <w:sz w:val="24"/>
          <w:szCs w:val="24"/>
          <w:color w:val="000000"/>
        </w:rPr>
        <w:t xml:space="preserve">npm run build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成功生成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4"/>
          <w:szCs w:val="24"/>
          <w:color w:val="000000"/>
        </w:rPr>
        <w:t xml:space="preserve">/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  <w:sz w:val="24"/>
          <w:szCs w:val="24"/>
          <w:color w:val="000000"/>
        </w:rPr>
        <w:t xml:space="preserve">/login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  <w:sz w:val="24"/>
          <w:szCs w:val="24"/>
          <w:color w:val="000000"/>
        </w:rPr>
        <w:t xml:space="preserve">/register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  <w:sz w:val="24"/>
          <w:szCs w:val="24"/>
          <w:color w:val="000000"/>
        </w:rPr>
        <w:t xml:space="preserve">/workspace/ena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  <w:sz w:val="24"/>
          <w:szCs w:val="24"/>
          <w:color w:val="000000"/>
        </w:rPr>
        <w:t xml:space="preserve">/workspace/sena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和动态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4"/>
          <w:szCs w:val="24"/>
          <w:color w:val="000000"/>
        </w:rPr>
        <w:t xml:space="preserve">/api/ena/run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；</w:t>
      </w:r>
      <w:r>
        <w:rPr>
          <w:rStyle w:val="VerbatimChar"/>
          <w:rFonts w:ascii="Times New Roman" w:hAnsi="Times New Roman" w:eastAsia="Times New Roman" w:cs="Times New Roman"/>
          <w:sz w:val="24"/>
          <w:szCs w:val="24"/>
          <w:color w:val="000000"/>
        </w:rPr>
        <w:t xml:space="preserve">npm run lint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已非交互通过且无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warnings/errors；</w:t>
      </w:r>
      <w:r>
        <w:rPr>
          <w:rStyle w:val="VerbatimChar"/>
          <w:rFonts w:ascii="Times New Roman" w:hAnsi="Times New Roman" w:eastAsia="Times New Roman" w:cs="Times New Roman"/>
          <w:sz w:val="24"/>
          <w:szCs w:val="24"/>
          <w:color w:val="000000"/>
        </w:rPr>
        <w:t xml:space="preserve">vendor/sna-js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的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4"/>
          <w:szCs w:val="24"/>
          <w:color w:val="000000"/>
        </w:rPr>
        <w:t xml:space="preserve">npm test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通过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12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项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starter graph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tests；</w:t>
      </w:r>
      <w:r>
        <w:rPr>
          <w:rStyle w:val="VerbatimChar"/>
          <w:rFonts w:ascii="Times New Roman" w:hAnsi="Times New Roman" w:eastAsia="Times New Roman" w:cs="Times New Roman"/>
          <w:sz w:val="24"/>
          <w:szCs w:val="24"/>
          <w:color w:val="000000"/>
        </w:rPr>
        <w:t xml:space="preserve">vendor/jena-js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的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4"/>
          <w:szCs w:val="24"/>
          <w:color w:val="000000"/>
        </w:rPr>
        <w:t xml:space="preserve">npm test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通过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3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个测试文件、24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项测试，并覆盖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toy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与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research-shaped rENA golden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parity；</w:t>
      </w:r>
      <w:r>
        <w:rPr>
          <w:rStyle w:val="VerbatimChar"/>
          <w:rFonts w:ascii="Times New Roman" w:hAnsi="Times New Roman" w:eastAsia="Times New Roman" w:cs="Times New Roman"/>
          <w:sz w:val="24"/>
          <w:szCs w:val="24"/>
          <w:color w:val="000000"/>
        </w:rPr>
        <w:t xml:space="preserve">vendor/jena-js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的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4"/>
          <w:szCs w:val="24"/>
          <w:color w:val="000000"/>
        </w:rPr>
        <w:t xml:space="preserve">npm run typecheck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和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4"/>
          <w:szCs w:val="24"/>
          <w:color w:val="000000"/>
        </w:rPr>
        <w:t xml:space="preserve">npm run build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也通过。</w:t>
      </w:r>
    </w:p>
    <w:p>
      <w:pPr>
        <w:pStyle w:val="BodyText"/>
        <w:jc w:val="left"/>
        <w:ind w:firstLine="720"/>
        <w:spacing w:before="0" w:after="0" w:line="480" w:lineRule="auto"/>
      </w:pP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首页由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4"/>
          <w:szCs w:val="24"/>
          <w:color w:val="000000"/>
        </w:rPr>
        <w:t xml:space="preserve">app/page.tsx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串联多个组件，包括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4"/>
          <w:szCs w:val="24"/>
          <w:color w:val="000000"/>
        </w:rPr>
        <w:t xml:space="preserve">NavBar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  <w:sz w:val="24"/>
          <w:szCs w:val="24"/>
          <w:color w:val="000000"/>
        </w:rPr>
        <w:t xml:space="preserve">Hero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  <w:sz w:val="24"/>
          <w:szCs w:val="24"/>
          <w:color w:val="000000"/>
        </w:rPr>
        <w:t xml:space="preserve">Workflow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  <w:sz w:val="24"/>
          <w:szCs w:val="24"/>
          <w:color w:val="000000"/>
        </w:rPr>
        <w:t xml:space="preserve">MethodSection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  <w:sz w:val="24"/>
          <w:szCs w:val="24"/>
          <w:color w:val="000000"/>
        </w:rPr>
        <w:t xml:space="preserve">WorkspacePreview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  <w:sz w:val="24"/>
          <w:szCs w:val="24"/>
          <w:color w:val="000000"/>
        </w:rPr>
        <w:t xml:space="preserve">ResearchCases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  <w:sz w:val="24"/>
          <w:szCs w:val="24"/>
          <w:color w:val="000000"/>
        </w:rPr>
        <w:t xml:space="preserve">AnalyticsGallery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  <w:sz w:val="24"/>
          <w:szCs w:val="24"/>
          <w:color w:val="000000"/>
        </w:rPr>
        <w:t xml:space="preserve">EthicsSection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  <w:sz w:val="24"/>
          <w:szCs w:val="24"/>
          <w:color w:val="000000"/>
        </w:rPr>
        <w:t xml:space="preserve">DocsSection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和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4"/>
          <w:szCs w:val="24"/>
          <w:color w:val="000000"/>
        </w:rPr>
        <w:t xml:space="preserve">Footer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。这个结构适合展示方法和愿景，但还不是一个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workbench-first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的产品首页。</w:t>
      </w:r>
      <w:r>
        <w:rPr>
          <w:rStyle w:val="VerbatimChar"/>
          <w:rFonts w:ascii="Times New Roman" w:hAnsi="Times New Roman" w:eastAsia="Times New Roman" w:cs="Times New Roman"/>
          <w:sz w:val="24"/>
          <w:szCs w:val="24"/>
          <w:color w:val="000000"/>
        </w:rPr>
        <w:t xml:space="preserve">NavBar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支持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ENG、繁体、简体三种语言，并通过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4"/>
          <w:szCs w:val="24"/>
          <w:color w:val="000000"/>
        </w:rPr>
        <w:t xml:space="preserve">LanguageProvider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存储在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localStorage；主题通过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4"/>
          <w:szCs w:val="24"/>
          <w:color w:val="000000"/>
        </w:rPr>
        <w:t xml:space="preserve">ThemeProvider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在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localStorage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中保存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day/night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状态。多语言支持目前覆盖导航和主要营销段落，但组件内仍有大量英文硬编码，工作区表单、提示、按钮、图表标题和警告文案尚未完全国际化。</w:t>
      </w:r>
    </w:p>
    <w:p>
      <w:pPr>
        <w:pStyle w:val="BodyText"/>
        <w:jc w:val="left"/>
        <w:ind w:firstLine="720"/>
        <w:spacing w:before="0" w:after="0" w:line="480" w:lineRule="auto"/>
      </w:pPr>
      <w:r>
        <w:rPr>
          <w:rStyle w:val="VerbatimChar"/>
          <w:rFonts w:ascii="Times New Roman" w:hAnsi="Times New Roman" w:eastAsia="Times New Roman" w:cs="Times New Roman"/>
          <w:sz w:val="24"/>
          <w:szCs w:val="24"/>
          <w:color w:val="000000"/>
        </w:rPr>
        <w:t xml:space="preserve">/workspace/ena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是可运行的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jENA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工作区。它支持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CSV sample、CSV upload、column mapping、model/window/weight/node-position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参数选择、browser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worker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与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Next API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两种运行路径、运行取消、结果图、variance、points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CSV、connections CSV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和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JSON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导出。核心逻辑在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4"/>
          <w:szCs w:val="24"/>
          <w:color w:val="000000"/>
        </w:rPr>
        <w:t xml:space="preserve">lib/ena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，包括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CSV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解析、mapping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inference、输入验证、</w:t>
      </w:r>
      <w:r>
        <w:rPr>
          <w:rStyle w:val="VerbatimChar"/>
          <w:rFonts w:ascii="Times New Roman" w:hAnsi="Times New Roman" w:eastAsia="Times New Roman" w:cs="Times New Roman"/>
          <w:sz w:val="24"/>
          <w:szCs w:val="24"/>
          <w:color w:val="000000"/>
        </w:rPr>
        <w:t xml:space="preserve">jena-js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执行和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plot model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构建。这个模块的价值在于证明浏览器内运行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ENA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是可行的，也提供了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SENA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方法中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epistemic network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层的独立入口。</w:t>
      </w:r>
    </w:p>
    <w:p>
      <w:pPr>
        <w:pStyle w:val="BodyText"/>
        <w:jc w:val="left"/>
        <w:ind w:firstLine="720"/>
        <w:spacing w:before="0" w:after="0" w:line="480" w:lineRule="auto"/>
      </w:pPr>
      <w:r>
        <w:rPr>
          <w:rStyle w:val="VerbatimChar"/>
          <w:rFonts w:ascii="Times New Roman" w:hAnsi="Times New Roman" w:eastAsia="Times New Roman" w:cs="Times New Roman"/>
          <w:sz w:val="24"/>
          <w:szCs w:val="24"/>
          <w:color w:val="000000"/>
        </w:rPr>
        <w:t xml:space="preserve">/workspace/sena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是当前项目的核心资产。它支持上传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JSON contract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或多个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CSV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表，按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4"/>
          <w:szCs w:val="24"/>
          <w:color w:val="000000"/>
        </w:rPr>
        <w:t xml:space="preserve">people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  <w:sz w:val="24"/>
          <w:szCs w:val="24"/>
          <w:color w:val="000000"/>
        </w:rPr>
        <w:t xml:space="preserve">interactions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  <w:sz w:val="24"/>
          <w:szCs w:val="24"/>
          <w:color w:val="000000"/>
        </w:rPr>
        <w:t xml:space="preserve">utterances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  <w:sz w:val="24"/>
          <w:szCs w:val="24"/>
          <w:color w:val="000000"/>
        </w:rPr>
        <w:t xml:space="preserve">coded_segments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  <w:sz w:val="24"/>
          <w:szCs w:val="24"/>
          <w:color w:val="000000"/>
        </w:rPr>
        <w:t xml:space="preserve">codebook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进行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table inference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和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column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mapping，随后构造模型、显示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Dual Lens Dashboard、Fusion Canvas、Inspector、SNA Metrics、Community Detection、Pair Contribution G、SENA Matrices、Temporal Window Builder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和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Report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Generator。这个页面已经把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SENA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从概念变成可交互模型；但它仍主要在前端状态中运行，缺少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saved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project、后端存储、权限控制、长期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job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管理和正式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report artifact pipeline。</w:t>
      </w:r>
    </w:p>
    <w:p>
      <w:pPr>
        <w:pStyle w:val="BodyText"/>
        <w:jc w:val="left"/>
        <w:ind w:firstLine="720"/>
        <w:spacing w:before="0" w:after="0" w:line="48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www.sena.hk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的生产状态需要单独处理。本次通过公开访问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4"/>
          <w:szCs w:val="24"/>
          <w:color w:val="000000"/>
        </w:rPr>
        <w:t xml:space="preserve">https://www.sena.hk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时未能获得可用页面，返回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502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或没有可检索索引。这并不改变本地代码可构建的事实，但说明域名或部署链路已经是第一优先级运维风险。对于外部评审、合作者和试点学校来说，域名健康比本地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build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成功更直接地影响可信度。</w:t>
      </w:r>
    </w:p>
    <w:p>
      <w:pPr>
        <w:pStyle w:val="BodyText"/>
        <w:jc w:val="left"/>
        <w:ind/>
        <w:spacing w:before="0" w:after="0" w:line="480" w:lineRule="auto"/>
        <w:keepNext/>
      </w:pP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 xml:space="preserve">Table 2</w:t>
      </w:r>
    </w:p>
    <w:p>
      <w:pPr>
        <w:pStyle w:val="BodyText"/>
        <w:jc w:val="left"/>
        <w:ind/>
        <w:spacing w:before="0" w:after="0" w:line="480" w:lineRule="auto"/>
        <w:keepNext/>
      </w:pPr>
      <w:r>
        <w:rPr>
          <w:i/>
          <w:iCs/>
          <w:rFonts w:ascii="Times New Roman" w:hAnsi="Times New Roman" w:eastAsia="Times New Roman" w:cs="Times New Roman"/>
          <w:sz w:val="24"/>
          <w:szCs w:val="24"/>
          <w:color w:val="000000"/>
        </w:rPr>
        <w:t xml:space="preserve">Current codebase inventory and development implications</w:t>
      </w:r>
    </w:p>
    <w:tbl>
      <w:tblPr>
        <w:tblStyle w:val="Table"/>
        <w:tblW w:type="dxa" w:w="9360"/>
        <w:tblLayout w:type="fixed"/>
        <w:tblLook w:firstRow="1" w:lastRow="0" w:firstColumn="0" w:lastColumn="0" w:noHBand="0" w:noVBand="0" w:val="0020"/>
        <w:tblBorders>
          <w:top w:val="nil" w:sz="0" w:color="FFFFFF"/>
          <w:bottom w:val="nil" w:sz="0" w:color="FFFFFF"/>
          <w:left w:val="nil" w:sz="0" w:color="FFFFFF"/>
          <w:right w:val="nil" w:sz="0" w:color="FFFFFF"/>
          <w:insideH w:val="nil" w:sz="0" w:color="FFFFFF"/>
          <w:insideV w:val="nil" w:sz="0" w:color="FFFFFF"/>
        </w:tblBorders>
        <w:tblCellMar>
          <w:top w:type="dxa" w:w="120"/>
          <w:bottom w:type="dxa" w:w="120"/>
          <w:left w:type="dxa" w:w="140"/>
          <w:right w:type="dxa" w:w="140"/>
        </w:tblCellMar>
      </w:tblPr>
      <w:tblGrid>
        <w:gridCol w:w="1650"/>
        <w:gridCol w:w="3000"/>
        <w:gridCol w:w="2300"/>
        <w:gridCol w:w="2410"/>
      </w:tblGrid>
      <w:tr>
        <w:trPr>
          <w:tblHeader w:val="on"/>
        </w:trPr>
        <w:tc>
          <w:tcPr>
            <w:tcW w:type="dxa" w:w="1650"/>
            <w:tcBorders>
              <w:top w:val="single" w:sz="8" w:space="0" w:color="000000"/>
              <w:bottom w:val="single" w:sz="8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  <w:b/>
              </w:rPr>
              <w:t xml:space="preserve">模块</w:t>
            </w:r>
          </w:p>
        </w:tc>
        <w:tc>
          <w:tcPr>
            <w:tcW w:type="dxa" w:w="3000"/>
            <w:tcBorders>
              <w:top w:val="single" w:sz="8" w:space="0" w:color="000000"/>
              <w:bottom w:val="single" w:sz="8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  <w:b/>
              </w:rPr>
              <w:t xml:space="preserve">当前状态</w:t>
            </w:r>
          </w:p>
        </w:tc>
        <w:tc>
          <w:tcPr>
            <w:tcW w:type="dxa" w:w="2300"/>
            <w:tcBorders>
              <w:top w:val="single" w:sz="8" w:space="0" w:color="000000"/>
              <w:bottom w:val="single" w:sz="8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  <w:b/>
              </w:rPr>
              <w:t xml:space="preserve">主要价值</w:t>
            </w:r>
          </w:p>
        </w:tc>
        <w:tc>
          <w:tcPr>
            <w:tcW w:type="dxa" w:w="2410"/>
            <w:tcBorders>
              <w:top w:val="single" w:sz="8" w:space="0" w:color="000000"/>
              <w:bottom w:val="single" w:sz="8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  <w:b/>
              </w:rPr>
              <w:t xml:space="preserve">技术债或风险</w:t>
            </w:r>
          </w:p>
        </w:tc>
      </w:tr>
      <w:tr>
        <w:tc>
          <w:tcPr>
            <w:tcW w:type="dxa" w:w="165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Next.js site shell</w:t>
            </w:r>
          </w:p>
        </w:tc>
        <w:tc>
          <w:tcPr>
            <w:tcW w:type="dxa" w:w="300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App </w:t>
            </w: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Router、Tailwind、主题与语言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 provider </w:t>
            </w: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已成型</w:t>
            </w:r>
          </w:p>
        </w:tc>
        <w:tc>
          <w:tcPr>
            <w:tcW w:type="dxa" w:w="230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快速演示、低后端依赖、可静态构建</w:t>
            </w:r>
          </w:p>
        </w:tc>
        <w:tc>
          <w:tcPr>
            <w:tcW w:type="dxa" w:w="241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首页仍偏展示，工作区状态不可保存</w:t>
            </w:r>
          </w:p>
        </w:tc>
      </w:tr>
      <w:tr>
        <w:tc>
          <w:tcPr>
            <w:tcW w:type="dxa" w:w="165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ENA workspace</w:t>
            </w:r>
          </w:p>
        </w:tc>
        <w:tc>
          <w:tcPr>
            <w:tcW w:type="dxa" w:w="300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CSV、mapping、jENA worker/API、plot/export</w:t>
            </w:r>
          </w:p>
        </w:tc>
        <w:tc>
          <w:tcPr>
            <w:tcW w:type="dxa" w:w="230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可运行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 ENA </w:t>
            </w: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分析入口</w:t>
            </w:r>
          </w:p>
        </w:tc>
        <w:tc>
          <w:tcPr>
            <w:tcW w:type="dxa" w:w="241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jENA </w:t>
            </w: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已有随包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 parity </w:t>
            </w: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tests，仍需公开基准与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 CI </w:t>
            </w: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固化</w:t>
            </w:r>
          </w:p>
        </w:tc>
      </w:tr>
      <w:tr>
        <w:tc>
          <w:tcPr>
            <w:tcW w:type="dxa" w:w="165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SENA workspace</w:t>
            </w:r>
          </w:p>
        </w:tc>
        <w:tc>
          <w:tcPr>
            <w:tcW w:type="dxa" w:w="300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S/W/B/G、fusion、SNA metrics、temporal windows、report JSON/MD</w:t>
            </w:r>
          </w:p>
        </w:tc>
        <w:tc>
          <w:tcPr>
            <w:tcW w:type="dxa" w:w="230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当前最强产品资产</w:t>
            </w:r>
          </w:p>
        </w:tc>
        <w:tc>
          <w:tcPr>
            <w:tcW w:type="dxa" w:w="241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无持久化、无权限、无正式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 DOCX/PDF pipeline</w:t>
            </w:r>
          </w:p>
        </w:tc>
      </w:tr>
      <w:tr>
        <w:tc>
          <w:tcPr>
            <w:tcW w:type="dxa" w:w="165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SNA runtime</w:t>
            </w:r>
          </w:p>
        </w:tc>
        <w:tc>
          <w:tcPr>
            <w:tcW w:type="dxa" w:w="300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本地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sna.js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已接核心指标</w:t>
            </w:r>
          </w:p>
        </w:tc>
        <w:tc>
          <w:tcPr>
            <w:tcW w:type="dxa" w:w="230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浏览器/Node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可用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 SNA </w:t>
            </w: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指标</w:t>
            </w:r>
          </w:p>
        </w:tc>
        <w:tc>
          <w:tcPr>
            <w:tcW w:type="dxa" w:w="241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R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sna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大量函数仍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 pending</w:t>
            </w:r>
          </w:p>
        </w:tc>
      </w:tr>
      <w:tr>
        <w:tc>
          <w:tcPr>
            <w:tcW w:type="dxa" w:w="165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Auth pages</w:t>
            </w:r>
          </w:p>
        </w:tc>
        <w:tc>
          <w:tcPr>
            <w:tcW w:type="dxa" w:w="300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login/register UI </w:t>
            </w: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完成度较高</w:t>
            </w:r>
          </w:p>
        </w:tc>
        <w:tc>
          <w:tcPr>
            <w:tcW w:type="dxa" w:w="230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为机构路线预留入口</w:t>
            </w:r>
          </w:p>
        </w:tc>
        <w:tc>
          <w:tcPr>
            <w:tcW w:type="dxa" w:w="241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无真实身份、SSO、session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或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 RBAC</w:t>
            </w:r>
          </w:p>
        </w:tc>
      </w:tr>
      <w:tr>
        <w:tc>
          <w:tcPr>
            <w:tcW w:type="dxa" w:w="165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QA scripts</w:t>
            </w:r>
          </w:p>
        </w:tc>
        <w:tc>
          <w:tcPr>
            <w:tcW w:type="dxa" w:w="300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Vitest、jENA parity、lint、typecheck </w:t>
            </w: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和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 Next build </w:t>
            </w: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可运行</w:t>
            </w:r>
          </w:p>
        </w:tc>
        <w:tc>
          <w:tcPr>
            <w:tcW w:type="dxa" w:w="230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可形成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 CI </w:t>
            </w: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基础</w:t>
            </w:r>
          </w:p>
        </w:tc>
        <w:tc>
          <w:tcPr>
            <w:tcW w:type="dxa" w:w="241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验证结果需进入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 CI/release notes</w:t>
            </w:r>
          </w:p>
        </w:tc>
      </w:tr>
      <w:tr>
        <w:tc>
          <w:tcPr>
            <w:tcW w:type="dxa" w:w="1650"/>
            <w:tcBorders>
              <w:top w:val="nil" w:sz="0" w:space="0" w:color="000000"/>
              <w:bottom w:val="single" w:sz="8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Deployment</w:t>
            </w:r>
          </w:p>
        </w:tc>
        <w:tc>
          <w:tcPr>
            <w:tcW w:type="dxa" w:w="3000"/>
            <w:tcBorders>
              <w:top w:val="nil" w:sz="0" w:space="0" w:color="000000"/>
              <w:bottom w:val="single" w:sz="8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本地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 build </w:t>
            </w: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成功</w:t>
            </w:r>
          </w:p>
        </w:tc>
        <w:tc>
          <w:tcPr>
            <w:tcW w:type="dxa" w:w="2300"/>
            <w:tcBorders>
              <w:top w:val="nil" w:sz="0" w:space="0" w:color="000000"/>
              <w:bottom w:val="single" w:sz="8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可部署到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 Vercel/Node</w:t>
            </w:r>
          </w:p>
        </w:tc>
        <w:tc>
          <w:tcPr>
            <w:tcW w:type="dxa" w:w="2410"/>
            <w:tcBorders>
              <w:top w:val="nil" w:sz="0" w:space="0" w:color="000000"/>
              <w:bottom w:val="single" w:sz="8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www.sena.hk </w:t>
            </w: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当前健康异常，需监控</w:t>
            </w:r>
          </w:p>
        </w:tc>
      </w:tr>
    </w:tbl>
    <w:p>
      <w:pPr>
        <w:pStyle w:val="BodyText"/>
        <w:jc w:val="left"/>
        <w:ind/>
        <w:spacing w:before="0" w:after="0" w:line="480" w:lineRule="auto"/>
      </w:pPr>
      <w:r>
        <w:rPr>
          <w:i/>
          <w:iCs/>
          <w:rFonts w:ascii="Times New Roman" w:hAnsi="Times New Roman" w:eastAsia="Times New Roman" w:cs="Times New Roman"/>
          <w:sz w:val="24"/>
          <w:szCs w:val="24"/>
          <w:color w:val="000000"/>
        </w:rPr>
        <w:t xml:space="preserve">Note.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本表依据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2026-06-08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本地检查结果。线上域名状态应在部署修复后重新记录。</w:t>
      </w:r>
    </w:p>
    <w:p>
      <w:pPr>
        <w:pStyle w:val="BodyText"/>
        <w:jc w:val="left"/>
        <w:ind/>
        <w:spacing w:before="0" w:after="0" w:line="480" w:lineRule="auto"/>
        <w:keepNext/>
      </w:pP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 xml:space="preserve">Figure 1</w:t>
      </w:r>
    </w:p>
    <w:p>
      <w:pPr>
        <w:pStyle w:val="BodyText"/>
        <w:jc w:val="left"/>
        <w:ind/>
        <w:spacing w:before="0" w:after="0" w:line="480" w:lineRule="auto"/>
        <w:keepNext/>
      </w:pPr>
      <w:r>
        <w:rPr>
          <w:i/>
          <w:iCs/>
          <w:rFonts w:ascii="Times New Roman" w:hAnsi="Times New Roman" w:eastAsia="Times New Roman" w:cs="Times New Roman"/>
          <w:sz w:val="24"/>
          <w:szCs w:val="24"/>
          <w:color w:val="000000"/>
        </w:rPr>
        <w:t xml:space="preserve">SENA.HK current information architecture</w:t>
      </w:r>
    </w:p>
    <w:p>
      <w:pPr>
        <w:pStyle w:val="BodyText"/>
        <w:jc w:val="center"/>
        <w:ind/>
        <w:spacing w:before="0" w:after="0" w:line="48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drawing>
          <ns1:inline>
            <ns1:extent cx="5334000" cy="3012141"/>
            <ns1:effectExtent b="0" l="0" r="0" t="0"/>
            <ns1:docPr descr="" title="" id="12" name="Picture"/>
            <ns2:graphic>
              <ns2:graphicData uri="http://schemas.openxmlformats.org/drawingml/2006/picture">
                <ns3:pic>
                  <ns3:nvPicPr>
                    <ns3:cNvPr descr="figure_1_information_architecture.png" id="13" name="Picture"/>
                    <ns3:cNvPicPr>
                      <ns2:picLocks noChangeArrowheads="1" noChangeAspect="1"/>
                    </ns3:cNvPicPr>
                  </ns3:nvPicPr>
                  <ns3:blipFill>
                    <ns2:blip r:embed="rId11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334000" cy="3012141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p>
      <w:pPr>
        <w:pStyle w:val="BodyText"/>
        <w:jc w:val="left"/>
        <w:ind/>
        <w:spacing w:before="0" w:after="0" w:line="480" w:lineRule="auto"/>
      </w:pPr>
      <w:r>
        <w:rPr>
          <w:i/>
          <w:iCs/>
          <w:rFonts w:ascii="Times New Roman" w:hAnsi="Times New Roman" w:eastAsia="Times New Roman" w:cs="Times New Roman"/>
          <w:sz w:val="24"/>
          <w:szCs w:val="24"/>
          <w:color w:val="000000"/>
        </w:rPr>
        <w:t xml:space="preserve">Note.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The figure summarizes the current public-site and workspace surfaces inferred from the Next.js components and routes.</w:t>
      </w:r>
    </w:p>
    <w:bookmarkEnd w:id="14"/>
    <w:bookmarkStart w:id="15" w:name="技术债与产品机会"/>
    <w:p>
      <w:pPr>
        <w:pStyle w:val="Heading2"/>
        <w:jc w:val="center"/>
        <w:ind/>
        <w:spacing w:before="0" w:after="0" w:line="480" w:lineRule="auto"/>
        <w:keepNext/>
      </w:pPr>
      <w:r>
        <w:rPr>
          <w:rFonts w:hint="eastAsia" w:ascii="Times New Roman" w:hAnsi="Times New Roman" w:eastAsia="Times New Roman" w:cs="Times New Roman"/>
          <w:sz w:val="24"/>
          <w:szCs w:val="24"/>
          <w:color w:val="000000"/>
          <w:b/>
          <w:bCs/>
        </w:rPr>
        <w:t xml:space="preserve">技术债与产品机会</w:t>
      </w:r>
    </w:p>
    <w:p>
      <w:pPr>
        <w:pStyle w:val="FirstParagraph"/>
        <w:jc w:val="left"/>
        <w:ind w:firstLine="720"/>
        <w:spacing w:before="0" w:after="0" w:line="480" w:lineRule="auto"/>
      </w:pP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当前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SENA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最值得肯定的地方，是研究模型已经进入可运行代码，而不是停留在概念页。也正因为已经可运行，技术债应当更具体地处理。第一类技术债是工程自动化债。测试、构建和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lint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均可在本地非交互通过，但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CI、部署健康和告警还没有自动检查。没有这些基础，后续任何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UI、分析或报告改动都可能在合并后才暴露问题。第二类技术债是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runtime provenance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债。</w:t>
      </w:r>
      <w:r>
        <w:rPr>
          <w:rStyle w:val="VerbatimChar"/>
          <w:rFonts w:ascii="Times New Roman" w:hAnsi="Times New Roman" w:eastAsia="Times New Roman" w:cs="Times New Roman"/>
          <w:sz w:val="24"/>
          <w:szCs w:val="24"/>
          <w:color w:val="000000"/>
        </w:rPr>
        <w:t xml:space="preserve">jena-js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和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4"/>
          <w:szCs w:val="24"/>
          <w:color w:val="000000"/>
        </w:rPr>
        <w:t xml:space="preserve">sna.js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都是本地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vendored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packages，项目记忆明确要求不要误以为网站直接运行官方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rENA R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包；但用户和报告读者需要知道当前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JavaScript runtime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与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R reference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的关系、差异和验证状态。第三类技术债是状态管理债。当前工作区大量状态在浏览器中即时计算，适合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POC，但项目、上传、报告、review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和导出没有持久化对象。第四类技术债是治理债。登录注册页面、伦理区块和报告字段已经表达了治理愿景，但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auth、RBAC、audit、consent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metadata、匿名化和保留策略还未落到数据结构和流程。第五类技术债是解释边界债。页面已有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guardrail，但导出报告和未来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AI interpretation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也必须同样保留这些限制。</w:t>
      </w:r>
    </w:p>
    <w:p>
      <w:pPr>
        <w:pStyle w:val="BodyText"/>
        <w:jc w:val="left"/>
        <w:ind w:firstLine="720"/>
        <w:spacing w:before="0" w:after="0" w:line="480" w:lineRule="auto"/>
      </w:pP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产品机会则来自这些技术债背后的真实用户需求。研究者需要的不只是漂亮网络图，而是可以被审稿人追问时仍站得住的参数、证据和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benchmark。教师团队需要的不只是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matrix，而是能在复盘会议中讨论的阶段变化、原话证据和行动建议。机构需要的不只是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dashboard，而是能回答“谁能看见什么、数据保留多久、AI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是否参与、导出是否留痕”的治理能力。因此，SENA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的机会不是做又一个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analytics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gallery，而是把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social-epistemic analysis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做成一个可复现、可审计、可教学的完整链条。</w:t>
      </w:r>
    </w:p>
    <w:p>
      <w:pPr>
        <w:pStyle w:val="BodyText"/>
        <w:jc w:val="left"/>
        <w:ind w:firstLine="720"/>
        <w:spacing w:before="0" w:after="0" w:line="480" w:lineRule="auto"/>
      </w:pP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从商业和学术传播角度看，最优机会也不是立即推通用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SaaS。近期更现实的产品包是“研究/课程试点包”：标准数据模板、示例数据、codebook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模板、SENA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Fusion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工作区、报告模板、伦理声明和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benchmark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appendix。这个产品包可以服务论文、研究基金、教师发展工作坊和课程改进项目。它的销售或合作对象可以是研究团队、教育学院、学习分析实验室、教师专业发展项目，而不是泛化企业客户。只有当试点证明方法稳定、报告有用、治理可控之后，才有理由扩展到机构平台。</w:t>
      </w:r>
    </w:p>
    <w:p>
      <w:pPr>
        <w:pStyle w:val="BodyText"/>
        <w:jc w:val="left"/>
        <w:ind/>
        <w:spacing w:before="0" w:after="0" w:line="480" w:lineRule="auto"/>
        <w:keepNext/>
      </w:pP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 xml:space="preserve">Table 3</w:t>
      </w:r>
    </w:p>
    <w:p>
      <w:pPr>
        <w:pStyle w:val="BodyText"/>
        <w:jc w:val="left"/>
        <w:ind/>
        <w:spacing w:before="0" w:after="0" w:line="480" w:lineRule="auto"/>
        <w:keepNext/>
      </w:pPr>
      <w:r>
        <w:rPr>
          <w:i/>
          <w:iCs/>
          <w:rFonts w:ascii="Times New Roman" w:hAnsi="Times New Roman" w:eastAsia="Times New Roman" w:cs="Times New Roman"/>
          <w:sz w:val="24"/>
          <w:szCs w:val="24"/>
          <w:color w:val="000000"/>
        </w:rPr>
        <w:t xml:space="preserve">Technical debt and product opportunity map</w:t>
      </w:r>
    </w:p>
    <w:tbl>
      <w:tblPr>
        <w:tblStyle w:val="Table"/>
        <w:tblW w:type="dxa" w:w="9360"/>
        <w:tblLayout w:type="fixed"/>
        <w:tblLook w:firstRow="1" w:lastRow="0" w:firstColumn="0" w:lastColumn="0" w:noHBand="0" w:noVBand="0" w:val="0020"/>
        <w:tblBorders>
          <w:top w:val="nil" w:sz="0" w:color="FFFFFF"/>
          <w:bottom w:val="nil" w:sz="0" w:color="FFFFFF"/>
          <w:left w:val="nil" w:sz="0" w:color="FFFFFF"/>
          <w:right w:val="nil" w:sz="0" w:color="FFFFFF"/>
          <w:insideH w:val="nil" w:sz="0" w:color="FFFFFF"/>
          <w:insideV w:val="nil" w:sz="0" w:color="FFFFFF"/>
        </w:tblBorders>
        <w:tblCellMar>
          <w:top w:type="dxa" w:w="120"/>
          <w:bottom w:type="dxa" w:w="120"/>
          <w:left w:type="dxa" w:w="140"/>
          <w:right w:type="dxa" w:w="140"/>
        </w:tblCellMar>
      </w:tblPr>
      <w:tblGrid>
        <w:gridCol w:w="1800"/>
        <w:gridCol w:w="2500"/>
        <w:gridCol w:w="2450"/>
        <w:gridCol w:w="2610"/>
      </w:tblGrid>
      <w:tr>
        <w:trPr>
          <w:tblHeader w:val="on"/>
        </w:trPr>
        <w:tc>
          <w:tcPr>
            <w:tcW w:type="dxa" w:w="1800"/>
            <w:tcBorders>
              <w:top w:val="single" w:sz="8" w:space="0" w:color="000000"/>
              <w:bottom w:val="single" w:sz="8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  <w:b/>
              </w:rPr>
              <w:t xml:space="preserve">技术债</w:t>
            </w:r>
          </w:p>
        </w:tc>
        <w:tc>
          <w:tcPr>
            <w:tcW w:type="dxa" w:w="2500"/>
            <w:tcBorders>
              <w:top w:val="single" w:sz="8" w:space="0" w:color="000000"/>
              <w:bottom w:val="single" w:sz="8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  <w:b/>
              </w:rPr>
              <w:t xml:space="preserve">当前表现</w:t>
            </w:r>
          </w:p>
        </w:tc>
        <w:tc>
          <w:tcPr>
            <w:tcW w:type="dxa" w:w="2450"/>
            <w:tcBorders>
              <w:top w:val="single" w:sz="8" w:space="0" w:color="000000"/>
              <w:bottom w:val="single" w:sz="8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  <w:b/>
              </w:rPr>
              <w:t xml:space="preserve">对用户的影响</w:t>
            </w:r>
          </w:p>
        </w:tc>
        <w:tc>
          <w:tcPr>
            <w:tcW w:type="dxa" w:w="2610"/>
            <w:tcBorders>
              <w:top w:val="single" w:sz="8" w:space="0" w:color="000000"/>
              <w:bottom w:val="single" w:sz="8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  <w:b/>
              </w:rPr>
              <w:t xml:space="preserve">对应产品机会</w:t>
            </w:r>
          </w:p>
        </w:tc>
      </w:tr>
      <w:tr>
        <w:tc>
          <w:tcPr>
            <w:tcW w:type="dxa" w:w="180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工程自动化</w:t>
            </w:r>
          </w:p>
        </w:tc>
        <w:tc>
          <w:tcPr>
            <w:tcW w:type="dxa" w:w="250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lint </w:t>
            </w: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已非交互通过，线上健康异常</w:t>
            </w:r>
          </w:p>
        </w:tc>
        <w:tc>
          <w:tcPr>
            <w:tcW w:type="dxa" w:w="245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外部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 demo </w:t>
            </w: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可信度下降</w:t>
            </w:r>
          </w:p>
        </w:tc>
        <w:tc>
          <w:tcPr>
            <w:tcW w:type="dxa" w:w="261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CI、health check、release checklist</w:t>
            </w:r>
          </w:p>
        </w:tc>
      </w:tr>
      <w:tr>
        <w:tc>
          <w:tcPr>
            <w:tcW w:type="dxa" w:w="180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Runtime provenance</w:t>
            </w:r>
          </w:p>
        </w:tc>
        <w:tc>
          <w:tcPr>
            <w:tcW w:type="dxa" w:w="250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本地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 jENA/sna.js </w:t>
            </w: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 R reference </w:t>
            </w: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关系需说明</w:t>
            </w:r>
          </w:p>
        </w:tc>
        <w:tc>
          <w:tcPr>
            <w:tcW w:type="dxa" w:w="245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方法可信度依赖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 benchmark</w:t>
            </w:r>
          </w:p>
        </w:tc>
        <w:tc>
          <w:tcPr>
            <w:tcW w:type="dxa" w:w="261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Benchmark appendix </w:t>
            </w: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和版本化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 runtime notes</w:t>
            </w:r>
          </w:p>
        </w:tc>
      </w:tr>
      <w:tr>
        <w:tc>
          <w:tcPr>
            <w:tcW w:type="dxa" w:w="180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状态持久化</w:t>
            </w:r>
          </w:p>
        </w:tc>
        <w:tc>
          <w:tcPr>
            <w:tcW w:type="dxa" w:w="250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工作区状态主要在浏览器中</w:t>
            </w:r>
          </w:p>
        </w:tc>
        <w:tc>
          <w:tcPr>
            <w:tcW w:type="dxa" w:w="245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无法长期协作和复盘</w:t>
            </w:r>
          </w:p>
        </w:tc>
        <w:tc>
          <w:tcPr>
            <w:tcW w:type="dxa" w:w="261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Saved projects、analysis snapshots、report history</w:t>
            </w:r>
          </w:p>
        </w:tc>
      </w:tr>
      <w:tr>
        <w:tc>
          <w:tcPr>
            <w:tcW w:type="dxa" w:w="180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数据治理</w:t>
            </w:r>
          </w:p>
        </w:tc>
        <w:tc>
          <w:tcPr>
            <w:tcW w:type="dxa" w:w="250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auth/RBAC/audit/匿名化未落地</w:t>
            </w:r>
          </w:p>
        </w:tc>
        <w:tc>
          <w:tcPr>
            <w:tcW w:type="dxa" w:w="245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真实教育数据不能放心使用</w:t>
            </w:r>
          </w:p>
        </w:tc>
        <w:tc>
          <w:tcPr>
            <w:tcW w:type="dxa" w:w="261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Institution-ready governance layer</w:t>
            </w:r>
          </w:p>
        </w:tc>
      </w:tr>
      <w:tr>
        <w:tc>
          <w:tcPr>
            <w:tcW w:type="dxa" w:w="180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报告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 artifact</w:t>
            </w:r>
          </w:p>
        </w:tc>
        <w:tc>
          <w:tcPr>
            <w:tcW w:type="dxa" w:w="250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JSON/Markdown </w:t>
            </w: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有基础，DOCX/PDF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未内建</w:t>
            </w:r>
          </w:p>
        </w:tc>
        <w:tc>
          <w:tcPr>
            <w:tcW w:type="dxa" w:w="245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难以直接用于论文和项目汇报</w:t>
            </w:r>
          </w:p>
        </w:tc>
        <w:tc>
          <w:tcPr>
            <w:tcW w:type="dxa" w:w="261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APA report generator </w:t>
            </w: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和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 evidence appendix</w:t>
            </w:r>
          </w:p>
        </w:tc>
      </w:tr>
      <w:tr>
        <w:tc>
          <w:tcPr>
            <w:tcW w:type="dxa" w:w="1800"/>
            <w:tcBorders>
              <w:top w:val="nil" w:sz="0" w:space="0" w:color="000000"/>
              <w:bottom w:val="single" w:sz="8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解释边界</w:t>
            </w:r>
          </w:p>
        </w:tc>
        <w:tc>
          <w:tcPr>
            <w:tcW w:type="dxa" w:w="2500"/>
            <w:tcBorders>
              <w:top w:val="nil" w:sz="0" w:space="0" w:color="000000"/>
              <w:bottom w:val="single" w:sz="8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页面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 guardrail </w:t>
            </w: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有，导出和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 AI </w:t>
            </w: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仍需强化</w:t>
            </w:r>
          </w:p>
        </w:tc>
        <w:tc>
          <w:tcPr>
            <w:tcW w:type="dxa" w:w="2450"/>
            <w:tcBorders>
              <w:top w:val="nil" w:sz="0" w:space="0" w:color="000000"/>
              <w:bottom w:val="single" w:sz="8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用户可能过度解释图距离</w:t>
            </w:r>
          </w:p>
        </w:tc>
        <w:tc>
          <w:tcPr>
            <w:tcW w:type="dxa" w:w="2610"/>
            <w:tcBorders>
              <w:top w:val="nil" w:sz="0" w:space="0" w:color="000000"/>
              <w:bottom w:val="single" w:sz="8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Human-reviewed interpretation workflow</w:t>
            </w:r>
          </w:p>
        </w:tc>
      </w:tr>
    </w:tbl>
    <w:p>
      <w:pPr>
        <w:pStyle w:val="BodyText"/>
        <w:jc w:val="left"/>
        <w:ind/>
        <w:spacing w:before="0" w:after="0" w:line="480" w:lineRule="auto"/>
      </w:pPr>
      <w:r>
        <w:rPr>
          <w:i/>
          <w:iCs/>
          <w:rFonts w:ascii="Times New Roman" w:hAnsi="Times New Roman" w:eastAsia="Times New Roman" w:cs="Times New Roman"/>
          <w:sz w:val="24"/>
          <w:szCs w:val="24"/>
          <w:color w:val="000000"/>
        </w:rPr>
        <w:t xml:space="preserve">Note.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技术债不是否定当前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POC，而是把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POC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变成可信平台的路线入口。</w:t>
      </w:r>
    </w:p>
    <w:bookmarkEnd w:id="15"/>
    <w:bookmarkStart w:id="19" w:name="核心方法论与-senaenasnafusion-技术架构"/>
    <w:p>
      <w:pPr>
        <w:pStyle w:val="Heading2"/>
        <w:jc w:val="center"/>
        <w:ind/>
        <w:spacing w:before="0" w:after="0" w:line="480" w:lineRule="auto"/>
        <w:keepNext/>
      </w:pPr>
      <w:r>
        <w:rPr>
          <w:rFonts w:hint="eastAsia" w:ascii="Times New Roman" w:hAnsi="Times New Roman" w:eastAsia="Times New Roman" w:cs="Times New Roman"/>
          <w:sz w:val="24"/>
          <w:szCs w:val="24"/>
          <w:color w:val="000000"/>
          <w:b/>
          <w:bCs/>
        </w:rPr>
        <w:t xml:space="preserve">核心方法论与</w:t>
      </w:r>
      <w:r>
        <w:rPr>
          <w:rFonts w:ascii="Times New Roman" w:hAnsi="Times New Roman" w:eastAsia="Times New Roman" w:cs="Times New Roman"/>
          <w:sz w:val="24"/>
          <w:szCs w:val="24"/>
          <w:color w:val="000000"/>
          <w:b/>
          <w:bCs/>
        </w:rPr>
        <w:t xml:space="preserve"> SENA/ENA/SNA/Fusion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  <w:b/>
          <w:bCs/>
        </w:rPr>
        <w:t xml:space="preserve">技术架构</w:t>
      </w:r>
    </w:p>
    <w:p>
      <w:pPr>
        <w:pStyle w:val="FirstParagraph"/>
        <w:jc w:val="left"/>
        <w:ind w:firstLine="720"/>
        <w:spacing w:before="0" w:after="0" w:line="48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SENA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的方法论核心可以表达为三层异构网络：社会层表示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person-person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interaction，概念层表示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code-code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co-occurrence，桥接层表示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person-code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contribution。当前代码还进一步引入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4"/>
          <w:szCs w:val="24"/>
          <w:color w:val="000000"/>
        </w:rPr>
        <w:t xml:space="preserve">G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，即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person-code-pair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contribution，用于回答“谁推动了某个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ENA code-pair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连接”。这比只看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4"/>
          <w:szCs w:val="24"/>
          <w:color w:val="000000"/>
        </w:rPr>
        <w:t xml:space="preserve">B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更接近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ENA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的边解释，因为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ENA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的关键对象往往是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code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pairs，而不是单个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code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的频次。</w:t>
      </w:r>
    </w:p>
    <w:p>
      <w:pPr>
        <w:pStyle w:val="BodyText"/>
        <w:jc w:val="left"/>
        <w:ind w:firstLine="720"/>
        <w:spacing w:before="0" w:after="0" w:line="480" w:lineRule="auto"/>
      </w:pP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当前实现中，</w:t>
      </w:r>
      <w:r>
        <w:rPr>
          <w:rStyle w:val="VerbatimChar"/>
          <w:rFonts w:ascii="Times New Roman" w:hAnsi="Times New Roman" w:eastAsia="Times New Roman" w:cs="Times New Roman"/>
          <w:sz w:val="24"/>
          <w:szCs w:val="24"/>
          <w:color w:val="000000"/>
        </w:rPr>
        <w:t xml:space="preserve">buildSenaModel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的流程大致是：先索引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people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和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codebook，随后从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interactions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构造社会矩阵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4"/>
          <w:szCs w:val="24"/>
          <w:color w:val="000000"/>
        </w:rPr>
        <w:t xml:space="preserve">S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和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directed social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matrix；从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stanza-level coded segments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构造概念共现矩阵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4"/>
          <w:szCs w:val="24"/>
          <w:color w:val="000000"/>
        </w:rPr>
        <w:t xml:space="preserve">W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；从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person-coded segments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构造桥接矩阵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4"/>
          <w:szCs w:val="24"/>
          <w:color w:val="000000"/>
        </w:rPr>
        <w:t xml:space="preserve">B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；从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code pair combinations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构造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4"/>
          <w:szCs w:val="24"/>
          <w:color w:val="000000"/>
        </w:rPr>
        <w:t xml:space="preserve">G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；通过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4"/>
          <w:szCs w:val="24"/>
          <w:color w:val="000000"/>
        </w:rPr>
        <w:t xml:space="preserve">sna.js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计算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density、tie count、degree、weighted degree、components、shortest path、closeness、reachable nodes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等社会指标；通过自实现算法计算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betweenness、label propagation community、epistemic diversity、alignment、concept brokerage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和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bridge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score；再按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normalization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和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4"/>
          <w:szCs w:val="24"/>
          <w:color w:val="000000"/>
        </w:rPr>
        <w:t xml:space="preserve">alpha/beta/gamma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构造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fusion matrix。</w:t>
      </w:r>
    </w:p>
    <w:p>
      <w:pPr>
        <w:pStyle w:val="BodyText"/>
        <w:jc w:val="left"/>
        <w:ind w:firstLine="720"/>
        <w:spacing w:before="0" w:after="0" w:line="48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ENA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技术架构更独立。</w:t>
      </w:r>
      <w:r>
        <w:rPr>
          <w:rStyle w:val="VerbatimChar"/>
          <w:rFonts w:ascii="Times New Roman" w:hAnsi="Times New Roman" w:eastAsia="Times New Roman" w:cs="Times New Roman"/>
          <w:sz w:val="24"/>
          <w:szCs w:val="24"/>
          <w:color w:val="000000"/>
        </w:rPr>
        <w:t xml:space="preserve">lib/ena/validation.ts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将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rows、units、conversation、codes、metadata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与运行参数转换为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4"/>
          <w:szCs w:val="24"/>
          <w:color w:val="000000"/>
        </w:rPr>
        <w:t xml:space="preserve">jena-js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的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ENAOptions。</w:t>
      </w:r>
      <w:r>
        <w:rPr>
          <w:rStyle w:val="VerbatimChar"/>
          <w:rFonts w:ascii="Times New Roman" w:hAnsi="Times New Roman" w:eastAsia="Times New Roman" w:cs="Times New Roman"/>
          <w:sz w:val="24"/>
          <w:szCs w:val="24"/>
          <w:color w:val="000000"/>
        </w:rPr>
        <w:t xml:space="preserve">lib/ena/server.ts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通过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4"/>
          <w:szCs w:val="24"/>
          <w:color w:val="000000"/>
        </w:rPr>
        <w:t xml:space="preserve">ena(prepared.options)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在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API route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中运行；</w:t>
      </w:r>
      <w:r>
        <w:rPr>
          <w:rStyle w:val="VerbatimChar"/>
          <w:rFonts w:ascii="Times New Roman" w:hAnsi="Times New Roman" w:eastAsia="Times New Roman" w:cs="Times New Roman"/>
          <w:sz w:val="24"/>
          <w:szCs w:val="24"/>
          <w:color w:val="000000"/>
        </w:rPr>
        <w:t xml:space="preserve">EnaWorkspaceClient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则可通过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browser Worker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运行同一套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options。结果通过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4"/>
          <w:szCs w:val="24"/>
          <w:color w:val="000000"/>
        </w:rPr>
        <w:t xml:space="preserve">buildEnaRunResult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生成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summary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和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plot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model，包含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rows、units、codes、dimensions、variance、elapsedMs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和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runtime。这一设计为后续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SENA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提供两个方向：其一，保留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ENA workspace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作为教学和独立分析入口；其二，将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ENA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的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connection vectors、unit positions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和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node positions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更正式地接入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SENA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Fusion，而不仅依赖当前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SENA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里自建的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4"/>
          <w:szCs w:val="24"/>
          <w:color w:val="000000"/>
        </w:rPr>
        <w:t xml:space="preserve">W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。</w:t>
      </w:r>
    </w:p>
    <w:p>
      <w:pPr>
        <w:pStyle w:val="BodyText"/>
        <w:jc w:val="left"/>
        <w:ind w:firstLine="720"/>
        <w:spacing w:before="0" w:after="0" w:line="48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SNA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技术架构依赖本地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4"/>
          <w:szCs w:val="24"/>
          <w:color w:val="000000"/>
        </w:rPr>
        <w:t xml:space="preserve">sna.js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。当前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4"/>
          <w:szCs w:val="24"/>
          <w:color w:val="000000"/>
        </w:rPr>
        <w:t xml:space="preserve">sna.js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不是完整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R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4"/>
          <w:szCs w:val="24"/>
          <w:color w:val="000000"/>
        </w:rPr>
        <w:t xml:space="preserve">sna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移植，而是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browser/Node-safe starter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port，已实现或接入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4"/>
          <w:szCs w:val="24"/>
          <w:color w:val="000000"/>
        </w:rPr>
        <w:t xml:space="preserve">gden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  <w:sz w:val="24"/>
          <w:szCs w:val="24"/>
          <w:color w:val="000000"/>
        </w:rPr>
        <w:t xml:space="preserve">nties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  <w:sz w:val="24"/>
          <w:szCs w:val="24"/>
          <w:color w:val="000000"/>
        </w:rPr>
        <w:t xml:space="preserve">degree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  <w:sz w:val="24"/>
          <w:szCs w:val="24"/>
          <w:color w:val="000000"/>
        </w:rPr>
        <w:t xml:space="preserve">geodist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  <w:sz w:val="24"/>
          <w:szCs w:val="24"/>
          <w:color w:val="000000"/>
        </w:rPr>
        <w:t xml:space="preserve">components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和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4"/>
          <w:szCs w:val="24"/>
          <w:color w:val="000000"/>
        </w:rPr>
        <w:t xml:space="preserve">isConnected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等核心函数。SENA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页面还在自身模型层实现了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betweenness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和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deterministic weighted label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propagation。短期内这很合理，因为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SENA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需要的是可解释、可测试的核心指标，而不是一次性复刻整个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R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包。但长期必须把“哪些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SNA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指标来自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4"/>
          <w:szCs w:val="24"/>
          <w:color w:val="000000"/>
        </w:rPr>
        <w:t xml:space="preserve">sna.js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parity，哪些是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SENA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自实现，哪些只是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exploratory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helper”清楚写入报告导出与方法文档。</w:t>
      </w:r>
    </w:p>
    <w:p>
      <w:pPr>
        <w:pStyle w:val="BodyText"/>
        <w:jc w:val="left"/>
        <w:ind w:firstLine="720"/>
        <w:spacing w:before="0" w:after="0" w:line="48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Fusion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技术架构的关键是解释边界。当前页面提供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explanatory、ENA space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和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joint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三种布局，并在页面中加入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guardrail：explanatory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与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ENA-space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模式下跨层距离主要用于可读性，不应解释为严格统计距离；joint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mode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使用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normalized fusion matrix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的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deterministic force embedding proof of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concept，正式研究仍需导出权重、归一化、模型参数和稳定性检验。这个护栏非常重要。SENA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的可信度不来自夸大可视化距离，而来自明确声明哪些是统计空间、哪些是展示布局、哪些是待验证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embedding。</w:t>
      </w:r>
    </w:p>
    <w:p>
      <w:pPr>
        <w:pStyle w:val="BodyText"/>
        <w:jc w:val="left"/>
        <w:ind/>
        <w:spacing w:before="0" w:after="0" w:line="480" w:lineRule="auto"/>
        <w:keepNext/>
      </w:pP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 xml:space="preserve">Figure 2</w:t>
      </w:r>
    </w:p>
    <w:p>
      <w:pPr>
        <w:pStyle w:val="BodyText"/>
        <w:jc w:val="left"/>
        <w:ind/>
        <w:spacing w:before="0" w:after="0" w:line="480" w:lineRule="auto"/>
        <w:keepNext/>
      </w:pPr>
      <w:r>
        <w:rPr>
          <w:i/>
          <w:iCs/>
          <w:rFonts w:ascii="Times New Roman" w:hAnsi="Times New Roman" w:eastAsia="Times New Roman" w:cs="Times New Roman"/>
          <w:sz w:val="24"/>
          <w:szCs w:val="24"/>
          <w:color w:val="000000"/>
        </w:rPr>
        <w:t xml:space="preserve">SENA data and analysis flow</w:t>
      </w:r>
    </w:p>
    <w:p>
      <w:pPr>
        <w:pStyle w:val="BodyText"/>
        <w:jc w:val="center"/>
        <w:ind/>
        <w:spacing w:before="0" w:after="0" w:line="48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drawing>
          <ns1:inline>
            <ns1:extent cx="5334000" cy="3012141"/>
            <ns1:effectExtent b="0" l="0" r="0" t="0"/>
            <ns1:docPr descr="" title="" id="17" name="Picture"/>
            <ns2:graphic>
              <ns2:graphicData uri="http://schemas.openxmlformats.org/drawingml/2006/picture">
                <ns3:pic>
                  <ns3:nvPicPr>
                    <ns3:cNvPr descr="figure_2_sena_data_flow.png" id="18" name="Picture"/>
                    <ns3:cNvPicPr>
                      <ns2:picLocks noChangeArrowheads="1" noChangeAspect="1"/>
                    </ns3:cNvPicPr>
                  </ns3:nvPicPr>
                  <ns3:blipFill>
                    <ns2:blip r:embed="rId16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334000" cy="3012141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p>
      <w:pPr>
        <w:pStyle w:val="BodyText"/>
        <w:jc w:val="left"/>
        <w:ind/>
        <w:spacing w:before="0" w:after="0" w:line="480" w:lineRule="auto"/>
      </w:pPr>
      <w:r>
        <w:rPr>
          <w:i/>
          <w:iCs/>
          <w:rFonts w:ascii="Times New Roman" w:hAnsi="Times New Roman" w:eastAsia="Times New Roman" w:cs="Times New Roman"/>
          <w:sz w:val="24"/>
          <w:szCs w:val="24"/>
          <w:color w:val="000000"/>
        </w:rPr>
        <w:t xml:space="preserve">Note.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The figure summarizes the current data contract, model construction, fusion, and output flow.</w:t>
      </w:r>
    </w:p>
    <w:bookmarkEnd w:id="19"/>
    <w:bookmarkStart w:id="20" w:name="数据模型与分析流程"/>
    <w:p>
      <w:pPr>
        <w:pStyle w:val="Heading2"/>
        <w:jc w:val="center"/>
        <w:ind/>
        <w:spacing w:before="0" w:after="0" w:line="480" w:lineRule="auto"/>
        <w:keepNext/>
      </w:pPr>
      <w:r>
        <w:rPr>
          <w:rFonts w:hint="eastAsia" w:ascii="Times New Roman" w:hAnsi="Times New Roman" w:eastAsia="Times New Roman" w:cs="Times New Roman"/>
          <w:sz w:val="24"/>
          <w:szCs w:val="24"/>
          <w:color w:val="000000"/>
          <w:b/>
          <w:bCs/>
        </w:rPr>
        <w:t xml:space="preserve">数据模型与分析流程</w:t>
      </w:r>
    </w:p>
    <w:p>
      <w:pPr>
        <w:pStyle w:val="FirstParagraph"/>
        <w:jc w:val="left"/>
        <w:ind w:firstLine="720"/>
        <w:spacing w:before="0" w:after="0" w:line="48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SENA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的数据模型应继续坚持五表契约。</w:t>
      </w:r>
      <w:r>
        <w:rPr>
          <w:rStyle w:val="VerbatimChar"/>
          <w:rFonts w:ascii="Times New Roman" w:hAnsi="Times New Roman" w:eastAsia="Times New Roman" w:cs="Times New Roman"/>
          <w:sz w:val="24"/>
          <w:szCs w:val="24"/>
          <w:color w:val="000000"/>
        </w:rPr>
        <w:t xml:space="preserve">people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定义参与者、角色、分组与显示标签；</w:t>
      </w:r>
      <w:r>
        <w:rPr>
          <w:rStyle w:val="VerbatimChar"/>
          <w:rFonts w:ascii="Times New Roman" w:hAnsi="Times New Roman" w:eastAsia="Times New Roman" w:cs="Times New Roman"/>
          <w:sz w:val="24"/>
          <w:szCs w:val="24"/>
          <w:color w:val="000000"/>
        </w:rPr>
        <w:t xml:space="preserve">interactions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定义人到人的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reply、mention、coordination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或其他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tie；</w:t>
      </w:r>
      <w:r>
        <w:rPr>
          <w:rStyle w:val="VerbatimChar"/>
          <w:rFonts w:ascii="Times New Roman" w:hAnsi="Times New Roman" w:eastAsia="Times New Roman" w:cs="Times New Roman"/>
          <w:sz w:val="24"/>
          <w:szCs w:val="24"/>
          <w:color w:val="000000"/>
        </w:rPr>
        <w:t xml:space="preserve">utterances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保留话轮、文本、阶段、时间与说话人；</w:t>
      </w:r>
      <w:r>
        <w:rPr>
          <w:rStyle w:val="VerbatimChar"/>
          <w:rFonts w:ascii="Times New Roman" w:hAnsi="Times New Roman" w:eastAsia="Times New Roman" w:cs="Times New Roman"/>
          <w:sz w:val="24"/>
          <w:szCs w:val="24"/>
          <w:color w:val="000000"/>
        </w:rPr>
        <w:t xml:space="preserve">coded_segments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将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utterances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或片段连接到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codes，并保留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unit、stanza、stage、turnIndex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和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confidence；</w:t>
      </w:r>
      <w:r>
        <w:rPr>
          <w:rStyle w:val="VerbatimChar"/>
          <w:rFonts w:ascii="Times New Roman" w:hAnsi="Times New Roman" w:eastAsia="Times New Roman" w:cs="Times New Roman"/>
          <w:sz w:val="24"/>
          <w:szCs w:val="24"/>
          <w:color w:val="000000"/>
        </w:rPr>
        <w:t xml:space="preserve">codebook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定义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codes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的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id、label、family、description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和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color。当前导入层已经有别名匹配与缺失字段警告，并能从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utterances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或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interactions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推导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placeholder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people，从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coded segments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推导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placeholder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codes。这对演示友好，但正式研究报告中必须把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derived placeholders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标为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warning，不能默默进入结论。</w:t>
      </w:r>
    </w:p>
    <w:p>
      <w:pPr>
        <w:pStyle w:val="BodyText"/>
        <w:jc w:val="left"/>
        <w:ind w:firstLine="720"/>
        <w:spacing w:before="0" w:after="0" w:line="480" w:lineRule="auto"/>
      </w:pP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推荐的分析流程分为八步。第一，创建项目并记录研究目的、数据来源、IRB/consent、保留策略、研究团队与版本。第二，导入五表数据或从平台数据源生成五表，执行字段映射、重复值检查、未知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person/code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检查、turn/stage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顺序检查、权重极值检查。第三，选择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codebook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与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coding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provenance，区分人工编码、AI-assisted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coding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和导入编码，记录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coder、confidence、review status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和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reliability。第四，运行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ENA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与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SNA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的独立分析，分别导出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connection counts、unit positions、SNA metrics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和基础图。第五，构造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SENA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4"/>
          <w:szCs w:val="24"/>
          <w:color w:val="000000"/>
        </w:rPr>
        <w:t xml:space="preserve">S/W/B/G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，设定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normalization、</w:t>
      </w:r>
      <w:r>
        <w:rPr>
          <w:rStyle w:val="VerbatimChar"/>
          <w:rFonts w:ascii="Times New Roman" w:hAnsi="Times New Roman" w:eastAsia="Times New Roman" w:cs="Times New Roman"/>
          <w:sz w:val="24"/>
          <w:szCs w:val="24"/>
          <w:color w:val="000000"/>
        </w:rPr>
        <w:t xml:space="preserve">alpha/beta/gamma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、undirected/directed social layer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与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temporal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mode。第六，在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Fusion Canvas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与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Dual Lens Dashboard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中检查图、矩阵、evidence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snippets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和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temporal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trace。第七，研究者填写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interpretation、limitations、next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actions，并标记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human-reviewed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status。第八，导出项目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snapshot、报告、图表、矩阵、参数、方法说明与证据附录。</w:t>
      </w:r>
    </w:p>
    <w:p>
      <w:pPr>
        <w:pStyle w:val="BodyText"/>
        <w:jc w:val="left"/>
        <w:ind w:firstLine="720"/>
        <w:spacing w:before="0" w:after="0" w:line="480" w:lineRule="auto"/>
      </w:pP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当前实现已经覆盖第三至第七步的一部分，但第一、第二、第三和第八步仍不够系统。最关键的产品化差距不是“再加一个图”，而是“让研究对象、数据来源、编码、参数、输出和人工判断进入同一个可保存的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manifest”。没有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manifest，就很难复现；没有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review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status，就很难把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AI-assisted interpretation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与正式研究结论区分开；没有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audit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log，就很难进入学校或机构试点。</w:t>
      </w:r>
    </w:p>
    <w:p>
      <w:pPr>
        <w:pStyle w:val="BodyText"/>
        <w:jc w:val="left"/>
        <w:ind/>
        <w:spacing w:before="0" w:after="0" w:line="480" w:lineRule="auto"/>
        <w:keepNext/>
      </w:pP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 xml:space="preserve">Table 4</w:t>
      </w:r>
    </w:p>
    <w:p>
      <w:pPr>
        <w:pStyle w:val="BodyText"/>
        <w:jc w:val="left"/>
        <w:ind/>
        <w:spacing w:before="0" w:after="0" w:line="480" w:lineRule="auto"/>
        <w:keepNext/>
      </w:pPr>
      <w:r>
        <w:rPr>
          <w:i/>
          <w:iCs/>
          <w:rFonts w:ascii="Times New Roman" w:hAnsi="Times New Roman" w:eastAsia="Times New Roman" w:cs="Times New Roman"/>
          <w:sz w:val="24"/>
          <w:szCs w:val="24"/>
          <w:color w:val="000000"/>
        </w:rPr>
        <w:t xml:space="preserve">Recommended SENA data contract and workflow controls</w:t>
      </w:r>
    </w:p>
    <w:tbl>
      <w:tblPr>
        <w:tblStyle w:val="Table"/>
        <w:tblW w:type="dxa" w:w="9360"/>
        <w:tblLayout w:type="fixed"/>
        <w:tblLook w:firstRow="1" w:lastRow="0" w:firstColumn="0" w:lastColumn="0" w:noHBand="0" w:noVBand="0" w:val="0020"/>
        <w:tblBorders>
          <w:top w:val="nil" w:sz="0" w:color="FFFFFF"/>
          <w:bottom w:val="nil" w:sz="0" w:color="FFFFFF"/>
          <w:left w:val="nil" w:sz="0" w:color="FFFFFF"/>
          <w:right w:val="nil" w:sz="0" w:color="FFFFFF"/>
          <w:insideH w:val="nil" w:sz="0" w:color="FFFFFF"/>
          <w:insideV w:val="nil" w:sz="0" w:color="FFFFFF"/>
        </w:tblBorders>
        <w:tblCellMar>
          <w:top w:type="dxa" w:w="120"/>
          <w:bottom w:type="dxa" w:w="120"/>
          <w:left w:type="dxa" w:w="140"/>
          <w:right w:type="dxa" w:w="140"/>
        </w:tblCellMar>
      </w:tblPr>
      <w:tblGrid>
        <w:gridCol w:w="1600"/>
        <w:gridCol w:w="3350"/>
        <w:gridCol w:w="1450"/>
        <w:gridCol w:w="3360"/>
      </w:tblGrid>
      <w:tr>
        <w:trPr>
          <w:tblHeader w:val="on"/>
        </w:trPr>
        <w:tc>
          <w:tcPr>
            <w:tcW w:type="dxa" w:w="1600"/>
            <w:tcBorders>
              <w:top w:val="single" w:sz="8" w:space="0" w:color="000000"/>
              <w:bottom w:val="single" w:sz="8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  <w:b/>
              </w:rPr>
              <w:t xml:space="preserve">数据对象</w:t>
            </w:r>
          </w:p>
        </w:tc>
        <w:tc>
          <w:tcPr>
            <w:tcW w:type="dxa" w:w="3350"/>
            <w:tcBorders>
              <w:top w:val="single" w:sz="8" w:space="0" w:color="000000"/>
              <w:bottom w:val="single" w:sz="8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  <w:b/>
              </w:rPr>
              <w:t xml:space="preserve">最小字段</w:t>
            </w:r>
          </w:p>
        </w:tc>
        <w:tc>
          <w:tcPr>
            <w:tcW w:type="dxa" w:w="1450"/>
            <w:tcBorders>
              <w:top w:val="single" w:sz="8" w:space="0" w:color="000000"/>
              <w:bottom w:val="single" w:sz="8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  <w:b/>
              </w:rPr>
              <w:t xml:space="preserve">当前支持</w:t>
            </w:r>
          </w:p>
        </w:tc>
        <w:tc>
          <w:tcPr>
            <w:tcW w:type="dxa" w:w="3360"/>
            <w:tcBorders>
              <w:top w:val="single" w:sz="8" w:space="0" w:color="000000"/>
              <w:bottom w:val="single" w:sz="8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  <w:b/>
              </w:rPr>
              <w:t xml:space="preserve">发展重点</w:t>
            </w:r>
          </w:p>
        </w:tc>
      </w:tr>
      <w:tr>
        <w:tc>
          <w:tcPr>
            <w:tcW w:type="dxa" w:w="160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people</w:t>
            </w:r>
          </w:p>
        </w:tc>
        <w:tc>
          <w:tcPr>
            <w:tcW w:type="dxa" w:w="335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id、label、role、group</w:t>
            </w:r>
          </w:p>
        </w:tc>
        <w:tc>
          <w:tcPr>
            <w:tcW w:type="dxa" w:w="145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已支持</w:t>
            </w:r>
          </w:p>
        </w:tc>
        <w:tc>
          <w:tcPr>
            <w:tcW w:type="dxa" w:w="336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增加匿名化显示名、属性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 schema、consent scope</w:t>
            </w:r>
          </w:p>
        </w:tc>
      </w:tr>
      <w:tr>
        <w:tc>
          <w:tcPr>
            <w:tcW w:type="dxa" w:w="160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interactions</w:t>
            </w:r>
          </w:p>
        </w:tc>
        <w:tc>
          <w:tcPr>
            <w:tcW w:type="dxa" w:w="335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source、target、weight、channel、stage、turnIndex、evidence</w:t>
            </w:r>
          </w:p>
        </w:tc>
        <w:tc>
          <w:tcPr>
            <w:tcW w:type="dxa" w:w="145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已支持</w:t>
            </w:r>
          </w:p>
        </w:tc>
        <w:tc>
          <w:tcPr>
            <w:tcW w:type="dxa" w:w="336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增加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 tie rule、source event、timestamp、directed policy</w:t>
            </w:r>
          </w:p>
        </w:tc>
      </w:tr>
      <w:tr>
        <w:tc>
          <w:tcPr>
            <w:tcW w:type="dxa" w:w="160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utterances</w:t>
            </w:r>
          </w:p>
        </w:tc>
        <w:tc>
          <w:tcPr>
            <w:tcW w:type="dxa" w:w="335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id、personId、unitId、stanzaId、stage、turnIndex、text</w:t>
            </w:r>
          </w:p>
        </w:tc>
        <w:tc>
          <w:tcPr>
            <w:tcW w:type="dxa" w:w="145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已支持</w:t>
            </w:r>
          </w:p>
        </w:tc>
        <w:tc>
          <w:tcPr>
            <w:tcW w:type="dxa" w:w="336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增加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 redaction status、language、source file、line range</w:t>
            </w:r>
          </w:p>
        </w:tc>
      </w:tr>
      <w:tr>
        <w:tc>
          <w:tcPr>
            <w:tcW w:type="dxa" w:w="160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coded_segments</w:t>
            </w:r>
          </w:p>
        </w:tc>
        <w:tc>
          <w:tcPr>
            <w:tcW w:type="dxa" w:w="335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segmentId、utteranceId、personId、codes、confidence</w:t>
            </w:r>
          </w:p>
        </w:tc>
        <w:tc>
          <w:tcPr>
            <w:tcW w:type="dxa" w:w="145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已支持</w:t>
            </w:r>
          </w:p>
        </w:tc>
        <w:tc>
          <w:tcPr>
            <w:tcW w:type="dxa" w:w="336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增加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 coderId、modelVersion、review state、agreement</w:t>
            </w:r>
          </w:p>
        </w:tc>
      </w:tr>
      <w:tr>
        <w:tc>
          <w:tcPr>
            <w:tcW w:type="dxa" w:w="160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codebook</w:t>
            </w:r>
          </w:p>
        </w:tc>
        <w:tc>
          <w:tcPr>
            <w:tcW w:type="dxa" w:w="335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id、label、family、description、color</w:t>
            </w:r>
          </w:p>
        </w:tc>
        <w:tc>
          <w:tcPr>
            <w:tcW w:type="dxa" w:w="145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已支持</w:t>
            </w:r>
          </w:p>
        </w:tc>
        <w:tc>
          <w:tcPr>
            <w:tcW w:type="dxa" w:w="336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增加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 code definitions、examples、version、validity notes</w:t>
            </w:r>
          </w:p>
        </w:tc>
      </w:tr>
      <w:tr>
        <w:tc>
          <w:tcPr>
            <w:tcW w:type="dxa" w:w="1600"/>
            <w:tcBorders>
              <w:top w:val="nil" w:sz="0" w:space="0" w:color="000000"/>
              <w:bottom w:val="single" w:sz="8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project manifest</w:t>
            </w:r>
          </w:p>
        </w:tc>
        <w:tc>
          <w:tcPr>
            <w:tcW w:type="dxa" w:w="3350"/>
            <w:tcBorders>
              <w:top w:val="nil" w:sz="0" w:space="0" w:color="000000"/>
              <w:bottom w:val="single" w:sz="8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purpose、dataset version、parameters、reviewers</w:t>
            </w:r>
          </w:p>
        </w:tc>
        <w:tc>
          <w:tcPr>
            <w:tcW w:type="dxa" w:w="1450"/>
            <w:tcBorders>
              <w:top w:val="nil" w:sz="0" w:space="0" w:color="000000"/>
              <w:bottom w:val="single" w:sz="8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待建</w:t>
            </w:r>
          </w:p>
        </w:tc>
        <w:tc>
          <w:tcPr>
            <w:tcW w:type="dxa" w:w="3360"/>
            <w:tcBorders>
              <w:top w:val="nil" w:sz="0" w:space="0" w:color="000000"/>
              <w:bottom w:val="single" w:sz="8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作为所有报告和导出的根对象</w:t>
            </w:r>
          </w:p>
        </w:tc>
      </w:tr>
    </w:tbl>
    <w:p>
      <w:pPr>
        <w:pStyle w:val="BodyText"/>
        <w:jc w:val="left"/>
        <w:ind/>
        <w:spacing w:before="0" w:after="0" w:line="480" w:lineRule="auto"/>
      </w:pPr>
      <w:r>
        <w:rPr>
          <w:i/>
          <w:iCs/>
          <w:rFonts w:ascii="Times New Roman" w:hAnsi="Times New Roman" w:eastAsia="Times New Roman" w:cs="Times New Roman"/>
          <w:sz w:val="24"/>
          <w:szCs w:val="24"/>
          <w:color w:val="000000"/>
        </w:rPr>
        <w:t xml:space="preserve">Note.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当前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SENA contract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已可用于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POC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与试点，但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production-grade research workflow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需要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provenance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与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review metadata。</w:t>
      </w:r>
    </w:p>
    <w:bookmarkEnd w:id="20"/>
    <w:bookmarkStart w:id="21" w:name="前端信息架构与-ux-改进方向"/>
    <w:p>
      <w:pPr>
        <w:pStyle w:val="Heading2"/>
        <w:jc w:val="center"/>
        <w:ind/>
        <w:spacing w:before="0" w:after="0" w:line="480" w:lineRule="auto"/>
        <w:keepNext/>
      </w:pPr>
      <w:r>
        <w:rPr>
          <w:rFonts w:hint="eastAsia" w:ascii="Times New Roman" w:hAnsi="Times New Roman" w:eastAsia="Times New Roman" w:cs="Times New Roman"/>
          <w:sz w:val="24"/>
          <w:szCs w:val="24"/>
          <w:color w:val="000000"/>
          <w:b/>
          <w:bCs/>
        </w:rPr>
        <w:t xml:space="preserve">前端信息架构与</w:t>
      </w:r>
      <w:r>
        <w:rPr>
          <w:rFonts w:ascii="Times New Roman" w:hAnsi="Times New Roman" w:eastAsia="Times New Roman" w:cs="Times New Roman"/>
          <w:sz w:val="24"/>
          <w:szCs w:val="24"/>
          <w:color w:val="000000"/>
          <w:b/>
          <w:bCs/>
        </w:rPr>
        <w:t xml:space="preserve"> UX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  <w:b/>
          <w:bCs/>
        </w:rPr>
        <w:t xml:space="preserve">改进方向</w:t>
      </w:r>
    </w:p>
    <w:p>
      <w:pPr>
        <w:pStyle w:val="FirstParagraph"/>
        <w:jc w:val="left"/>
        <w:ind w:firstLine="720"/>
        <w:spacing w:before="0" w:after="0" w:line="480" w:lineRule="auto"/>
      </w:pP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当前前端的视觉完成度高，交互组件丰富，适合展示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SENA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的方法吸引力。但从目标用户角度看，信息架构还需要从“方法展示页”转向“研究工作台”。首页的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Hero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中主按钮目前指向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4"/>
          <w:szCs w:val="24"/>
          <w:color w:val="000000"/>
        </w:rPr>
        <w:t xml:space="preserve">/workspace/ena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，WorkspacePreview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又同时提供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SENA POC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和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jENA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Workspace；这在演示阶段可接受，但对新用户会产生入口选择压力。建议将首页主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CTA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调整为“Start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a SENA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Project”或“Open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SENA Fusion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Studio”，并把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ENA workspace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作为二级入口，除非用户明确选择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standalone ENA analysis。</w:t>
      </w:r>
    </w:p>
    <w:p>
      <w:pPr>
        <w:pStyle w:val="BodyText"/>
        <w:jc w:val="left"/>
        <w:ind w:firstLine="720"/>
        <w:spacing w:before="0" w:after="0" w:line="480" w:lineRule="auto"/>
      </w:pP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导航层应减少营销页面与工作区之间的割裂。当前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4"/>
          <w:szCs w:val="24"/>
          <w:color w:val="000000"/>
        </w:rPr>
        <w:t xml:space="preserve">NavBar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的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demo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指向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4"/>
          <w:szCs w:val="24"/>
          <w:color w:val="000000"/>
        </w:rPr>
        <w:t xml:space="preserve">/workspace/sena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，docs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指向页面下方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docs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section，login/register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是独立页面。未来应增加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4"/>
          <w:szCs w:val="24"/>
          <w:color w:val="000000"/>
        </w:rPr>
        <w:t xml:space="preserve">/projects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或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4"/>
          <w:szCs w:val="24"/>
          <w:color w:val="000000"/>
        </w:rPr>
        <w:t xml:space="preserve">/workspace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顶层路由，把“项目列表、最近分析、模板、导入、报告”组织到一个登录后的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dashboard。未登录状态可以继续展示公开方法、案例、伦理与文档；登录后应直接进入项目和任务。</w:t>
      </w:r>
    </w:p>
    <w:p>
      <w:pPr>
        <w:pStyle w:val="BodyText"/>
        <w:jc w:val="left"/>
        <w:ind w:firstLine="720"/>
        <w:spacing w:before="0" w:after="0" w:line="480" w:lineRule="auto"/>
      </w:pPr>
      <w:r>
        <w:rPr>
          <w:rStyle w:val="VerbatimChar"/>
          <w:rFonts w:ascii="Times New Roman" w:hAnsi="Times New Roman" w:eastAsia="Times New Roman" w:cs="Times New Roman"/>
          <w:sz w:val="24"/>
          <w:szCs w:val="24"/>
          <w:color w:val="000000"/>
        </w:rPr>
        <w:t xml:space="preserve">/workspace/sena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的信息密度很高，是强项也是风险。研究者会喜欢矩阵、指标、导出和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evidence，但教师或课程团队可能被过多参数压倒。建议提供三种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mode：Research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Mode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保留完整参数、矩阵和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JSON；Teacher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Review Mode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聚焦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raw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conversation、阶段、evidence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snippets、role profiles、reflection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prompts；Methods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Mode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聚焦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benchmark、normalization、embedding guardrails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和可发表方法说明。这样可以在不牺牲严谨性的情况下让不同用户进入合适复杂度。</w:t>
      </w:r>
    </w:p>
    <w:p>
      <w:pPr>
        <w:pStyle w:val="BodyText"/>
        <w:jc w:val="left"/>
        <w:ind w:firstLine="720"/>
        <w:spacing w:before="0" w:after="0" w:line="480" w:lineRule="auto"/>
      </w:pP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可访问性方面，当前代码已经有一些良好实践，例如按钮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aria-label、SVG role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和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reduced-motion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CSS；但仍需系统审计。优先检查键盘导航、focus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visibility、表单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label、select multiple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的可用性、图表替代文本、颜色对比、移动端表格横向滚动、motion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reduction，以及语言切换后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4"/>
          <w:szCs w:val="24"/>
          <w:color w:val="000000"/>
        </w:rPr>
        <w:t xml:space="preserve">html lang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是否同步。国际化方面，LanguageProvider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已支持三种语言，但工作区和错误提示还有大量英文硬编码；正式教育场景至少需要中英完整工作区文案、报告模板和数据导入说明。</w:t>
      </w:r>
    </w:p>
    <w:bookmarkEnd w:id="21"/>
    <w:bookmarkStart w:id="22" w:name="研究与教育应用场景"/>
    <w:p>
      <w:pPr>
        <w:pStyle w:val="Heading2"/>
        <w:jc w:val="center"/>
        <w:ind/>
        <w:spacing w:before="0" w:after="0" w:line="480" w:lineRule="auto"/>
        <w:keepNext/>
      </w:pPr>
      <w:r>
        <w:rPr>
          <w:rFonts w:hint="eastAsia" w:ascii="Times New Roman" w:hAnsi="Times New Roman" w:eastAsia="Times New Roman" w:cs="Times New Roman"/>
          <w:sz w:val="24"/>
          <w:szCs w:val="24"/>
          <w:color w:val="000000"/>
          <w:b/>
          <w:bCs/>
        </w:rPr>
        <w:t xml:space="preserve">研究与教育应用场景</w:t>
      </w:r>
    </w:p>
    <w:p>
      <w:pPr>
        <w:pStyle w:val="FirstParagraph"/>
        <w:jc w:val="left"/>
        <w:ind w:firstLine="720"/>
        <w:spacing w:before="0" w:after="0" w:line="480" w:lineRule="auto"/>
      </w:pP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近期最合适的应用场景是研究型协作学习分析、教师协作与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lesson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study、课程团队复盘、知识建构课堂、MOOC/forum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分析和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instructor-facing learning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analytics。原因很直接：这些场景都有话语、参与者、互动关系、codebook、阶段和证据解释需求，正好匹配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SENA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contract。它们也允许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human-reviewed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interpretation，而不是要求系统自动给学生或教师打分。</w:t>
      </w:r>
    </w:p>
    <w:p>
      <w:pPr>
        <w:pStyle w:val="BodyText"/>
        <w:jc w:val="left"/>
        <w:ind w:firstLine="720"/>
        <w:spacing w:before="0" w:after="0" w:line="480" w:lineRule="auto"/>
      </w:pP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对研究场景，SENA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应提供论文友好的数据和方法出口：S/W/B/G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矩阵预览、normalized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values、parameter manifest、temporal windows、SNA metrics、ENA outputs、evidence snippets、figure caption、limitations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和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reproducibility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appendix。对教育场景，SENA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应把研究术语转化为行动问题：哪个阶段讨论从问题提出转向证据解释？谁在连接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evidence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和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critique？哪些小组互动很活跃但概念连接弱？教师支架是否增加了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reflection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或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explanation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的桥接贡献？这些问题可以由图和证据共同回答，而不必让教师先理解所有数学细节。</w:t>
      </w:r>
    </w:p>
    <w:p>
      <w:pPr>
        <w:pStyle w:val="BodyText"/>
        <w:jc w:val="left"/>
        <w:ind w:firstLine="720"/>
        <w:spacing w:before="0" w:after="0" w:line="480" w:lineRule="auto"/>
      </w:pP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不建议第一阶段进入高风险组织监控或政策评分。组织协作和政策评估确实可能受益于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SENA，但它们对权限、匿名化、误用防范和统计稳健性的要求高得多。把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centrality、bridge score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或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discourse quality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直接用于绩效评价会带来伦理风险。当前项目页面的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EthicsSection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已经强调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anonymization、RBAC、consent/IRB、audit logs、AI transparency、bias warnings、human review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和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reproducibility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exports；这些不是附加项，而是进入高风险场景之前的门槛。</w:t>
      </w:r>
    </w:p>
    <w:bookmarkEnd w:id="22"/>
    <w:bookmarkStart w:id="26" w:name="产品路线图"/>
    <w:p>
      <w:pPr>
        <w:pStyle w:val="Heading2"/>
        <w:jc w:val="center"/>
        <w:ind/>
        <w:spacing w:before="0" w:after="0" w:line="480" w:lineRule="auto"/>
        <w:keepNext/>
      </w:pPr>
      <w:r>
        <w:rPr>
          <w:rFonts w:hint="eastAsia" w:ascii="Times New Roman" w:hAnsi="Times New Roman" w:eastAsia="Times New Roman" w:cs="Times New Roman"/>
          <w:sz w:val="24"/>
          <w:szCs w:val="24"/>
          <w:color w:val="000000"/>
          <w:b/>
          <w:bCs/>
        </w:rPr>
        <w:t xml:space="preserve">产品路线图</w:t>
      </w:r>
    </w:p>
    <w:p>
      <w:pPr>
        <w:pStyle w:val="FirstParagraph"/>
        <w:jc w:val="left"/>
        <w:ind w:firstLine="720"/>
        <w:spacing w:before="0" w:after="0" w:line="480" w:lineRule="auto"/>
      </w:pP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产品路线图应以“从可运行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POC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到可信研究平台”为主线。0-1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个月的目标不是加大功能数量，而是稳定基础：修复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www.sena.hk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部署健康，把非交互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lint/test/build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纳入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CI，整理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docs，补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project README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与路线说明，确认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4"/>
          <w:szCs w:val="24"/>
          <w:color w:val="000000"/>
        </w:rPr>
        <w:t xml:space="preserve">/workspace/sena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和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4"/>
          <w:szCs w:val="24"/>
          <w:color w:val="000000"/>
        </w:rPr>
        <w:t xml:space="preserve">/workspace/ena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的演示数据、截图和导出都能稳定工作。这个阶段的成功标志是任何外部合作者打开网站、运行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sample、导出报告时都不会被基础问题阻断。</w:t>
      </w:r>
    </w:p>
    <w:p>
      <w:pPr>
        <w:pStyle w:val="BodyText"/>
        <w:jc w:val="left"/>
        <w:ind w:firstLine="720"/>
        <w:spacing w:before="0" w:after="0" w:line="48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1-3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个月应形成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research/education pilot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package。交付物包括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SENA data contract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模板、codebook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模板、示例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CSV/JSON、教师/研究者导入指南、publication-ready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figure export、DOCX/PDF report pipeline、rENA/jENA benchmark notes、sna.js parity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notes、方法声明模板和至少两个高质量案例。这个阶段的目标是让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SENA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可以支撑论文、工作坊或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grant demo。</w:t>
      </w:r>
    </w:p>
    <w:p>
      <w:pPr>
        <w:pStyle w:val="BodyText"/>
        <w:jc w:val="left"/>
        <w:ind w:firstLine="720"/>
        <w:spacing w:before="0" w:after="0" w:line="48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3-6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个月应把项目从单页前端状态推进为平台：用户登录、项目列表、上传文件保存、analysis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snapshots、review workflow、report templates、sharing links、role permissions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和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audit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events。这个阶段不一定需要复杂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SaaS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billing，但必须让一个研究团队能够保存项目、复盘版本、邀请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reviewer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并生成稳定报告。</w:t>
      </w:r>
    </w:p>
    <w:p>
      <w:pPr>
        <w:pStyle w:val="BodyText"/>
        <w:jc w:val="left"/>
        <w:ind w:firstLine="720"/>
        <w:spacing w:before="0" w:after="0" w:line="48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6-12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个月才进入机构级试点：匿名化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pipeline、RBAC、IRB/consent metadata、retention policy、deployment monitoring、error logging、batch jobs、data export governance、tenant boundaries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和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security review。12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个月后再考虑更广泛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API、第三方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LMS/LTI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集成、AI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coding assistant、advanced statistics、organization collaboration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和商业化路径。</w:t>
      </w:r>
    </w:p>
    <w:p>
      <w:pPr>
        <w:pStyle w:val="BodyText"/>
        <w:jc w:val="left"/>
        <w:ind/>
        <w:spacing w:before="0" w:after="0" w:line="480" w:lineRule="auto"/>
        <w:keepNext/>
      </w:pP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 xml:space="preserve">Figure 3</w:t>
      </w:r>
    </w:p>
    <w:p>
      <w:pPr>
        <w:pStyle w:val="BodyText"/>
        <w:jc w:val="left"/>
        <w:ind/>
        <w:spacing w:before="0" w:after="0" w:line="480" w:lineRule="auto"/>
        <w:keepNext/>
      </w:pPr>
      <w:r>
        <w:rPr>
          <w:i/>
          <w:iCs/>
          <w:rFonts w:ascii="Times New Roman" w:hAnsi="Times New Roman" w:eastAsia="Times New Roman" w:cs="Times New Roman"/>
          <w:sz w:val="24"/>
          <w:szCs w:val="24"/>
          <w:color w:val="000000"/>
        </w:rPr>
        <w:t xml:space="preserve">Phased product roadmap and decision gates</w:t>
      </w:r>
    </w:p>
    <w:p>
      <w:pPr>
        <w:pStyle w:val="BodyText"/>
        <w:jc w:val="center"/>
        <w:ind/>
        <w:spacing w:before="0" w:after="0" w:line="48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drawing>
          <ns1:inline>
            <ns1:extent cx="5334000" cy="3012141"/>
            <ns1:effectExtent b="0" l="0" r="0" t="0"/>
            <ns1:docPr descr="" title="" id="24" name="Picture"/>
            <ns2:graphic>
              <ns2:graphicData uri="http://schemas.openxmlformats.org/drawingml/2006/picture">
                <ns3:pic>
                  <ns3:nvPicPr>
                    <ns3:cNvPr descr="figure_3_product_roadmap.png" id="25" name="Picture"/>
                    <ns3:cNvPicPr>
                      <ns2:picLocks noChangeArrowheads="1" noChangeAspect="1"/>
                    </ns3:cNvPicPr>
                  </ns3:nvPicPr>
                  <ns3:blipFill>
                    <ns2:blip r:embed="rId23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334000" cy="3012141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p>
      <w:pPr>
        <w:pStyle w:val="BodyText"/>
        <w:jc w:val="left"/>
        <w:ind/>
        <w:spacing w:before="0" w:after="0" w:line="480" w:lineRule="auto"/>
      </w:pPr>
      <w:r>
        <w:rPr>
          <w:i/>
          <w:iCs/>
          <w:rFonts w:ascii="Times New Roman" w:hAnsi="Times New Roman" w:eastAsia="Times New Roman" w:cs="Times New Roman"/>
          <w:sz w:val="24"/>
          <w:szCs w:val="24"/>
          <w:color w:val="000000"/>
        </w:rPr>
        <w:t xml:space="preserve">Note.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Gates are recommended decision points, not fixed calendar commitments.</w:t>
      </w:r>
    </w:p>
    <w:bookmarkEnd w:id="26"/>
    <w:bookmarkStart w:id="27" w:name="分阶段开发计划"/>
    <w:p>
      <w:pPr>
        <w:pStyle w:val="Heading2"/>
        <w:jc w:val="center"/>
        <w:ind/>
        <w:spacing w:before="0" w:after="0" w:line="480" w:lineRule="auto"/>
        <w:keepNext/>
      </w:pPr>
      <w:r>
        <w:rPr>
          <w:rFonts w:hint="eastAsia" w:ascii="Times New Roman" w:hAnsi="Times New Roman" w:eastAsia="Times New Roman" w:cs="Times New Roman"/>
          <w:sz w:val="24"/>
          <w:szCs w:val="24"/>
          <w:color w:val="000000"/>
          <w:b/>
          <w:bCs/>
        </w:rPr>
        <w:t xml:space="preserve">分阶段开发计划</w:t>
      </w:r>
    </w:p>
    <w:p>
      <w:pPr>
        <w:pStyle w:val="FirstParagraph"/>
        <w:jc w:val="left"/>
        <w:ind w:firstLine="720"/>
        <w:spacing w:before="0" w:after="0" w:line="48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0-1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个月的开发应被视为“可信入口”阶段。具体工作包括：修复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www.sena.hk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的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502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问题；确认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production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和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preview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deployment；把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4"/>
          <w:szCs w:val="24"/>
          <w:color w:val="000000"/>
        </w:rPr>
        <w:t xml:space="preserve">npm test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  <w:sz w:val="24"/>
          <w:szCs w:val="24"/>
          <w:color w:val="000000"/>
        </w:rPr>
        <w:t xml:space="preserve">npm run build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、非交互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lint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和基本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Playwright smoke test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放入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CI；整理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README，让新成员可以在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10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分钟内运行网站；给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4"/>
          <w:szCs w:val="24"/>
          <w:color w:val="000000"/>
        </w:rPr>
        <w:t xml:space="preserve">/workspace/sena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和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4"/>
          <w:szCs w:val="24"/>
          <w:color w:val="000000"/>
        </w:rPr>
        <w:t xml:space="preserve">/workspace/ena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准备稳定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sample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data；确认导出按钮不会生成空文件；记录当前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runtime version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和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build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output。这个阶段还应补一个“known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limitations”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页面或文档，明确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joint layout、jENA parity、sna.js coverage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和真实数据使用边界。</w:t>
      </w:r>
    </w:p>
    <w:p>
      <w:pPr>
        <w:pStyle w:val="BodyText"/>
        <w:jc w:val="left"/>
        <w:ind w:firstLine="720"/>
        <w:spacing w:before="0" w:after="0" w:line="48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1-3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个月的开发重点是“研究与教育试点可交付”。需要把当前工作区的能力转化为试点材料：五表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CSV/JSON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模板、字段说明、codebook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模板、sample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lesson study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dataset、导入教程、SENA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方法页、APA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report template、figure export、benchmark notes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和教师复盘指南。工程上要实现从当前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model/report JSON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到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DOCX/PDF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的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report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generation，至少支持封面、数据摘要、参数、矩阵、图、evidence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snippets、human review、limitations、references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和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appendix。这个阶段还应把工作区中硬编码英文提示逐步抽到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i18n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dictionary，确保中文用户可以完成基本流程。</w:t>
      </w:r>
    </w:p>
    <w:p>
      <w:pPr>
        <w:pStyle w:val="BodyText"/>
        <w:jc w:val="left"/>
        <w:ind w:firstLine="720"/>
        <w:spacing w:before="0" w:after="0" w:line="48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3-6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个月是“项目平台”阶段。此时才开始认真引入后端：登录、项目列表、上传文件保存、codebook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version、analysis snapshot、report history、review fields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和分享权限。实现上可以先用轻量后端，不必一次性做复杂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multi-tenant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SaaS；但数据模型必须为以后扩展保留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user、role、project、artifact、audit event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和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deletion/retention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metadata。这个阶段还应把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teacher mode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和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research mode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分开，让教师用户不必直接面对全部矩阵和参数。</w:t>
      </w:r>
    </w:p>
    <w:p>
      <w:pPr>
        <w:pStyle w:val="BodyText"/>
        <w:jc w:val="left"/>
        <w:ind w:firstLine="720"/>
        <w:spacing w:before="0" w:after="0" w:line="48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6-12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个月是“机构试点”阶段。进入这一阶段的前提是至少有稳定研究或教育试点。开发重点是安全与治理：RBAC、audit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log、匿名化流程、consent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metadata、数据保留策略、备份、错误监控、访问审查和导出审计。与此同时，benchmark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要从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notes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变成持续维护的测试资产。对于大型数据，开始引入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server-side jobs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或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queue，避免浏览器长时间卡顿。这个阶段的目标不是泛化销售，而是让一个学校、课程团队或研究中心可以在明确边界内使用真实数据。</w:t>
      </w:r>
    </w:p>
    <w:p>
      <w:pPr>
        <w:pStyle w:val="BodyText"/>
        <w:jc w:val="left"/>
        <w:ind w:firstLine="720"/>
        <w:spacing w:before="0" w:after="0" w:line="48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12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个月以后才进入“扩展与生态”阶段。可能方向包括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LMS/LTI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集成、AI-assisted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coding、advanced joint embedding、group comparison、permutation testing、interactive publication、public API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和组织协作场景。每一个扩展都需要对应的治理和验证门槛。例如，AI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coding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必须有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prompt/version/confidence/reviewer；group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comparison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必须有统计假设和不确定性；LMS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集成必须有数据最小化和学生告知。</w:t>
      </w:r>
    </w:p>
    <w:p>
      <w:pPr>
        <w:pStyle w:val="BodyText"/>
        <w:jc w:val="left"/>
        <w:ind/>
        <w:spacing w:before="0" w:after="0" w:line="480" w:lineRule="auto"/>
        <w:keepNext/>
      </w:pP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 xml:space="preserve">Table 5</w:t>
      </w:r>
    </w:p>
    <w:p>
      <w:pPr>
        <w:pStyle w:val="BodyText"/>
        <w:jc w:val="left"/>
        <w:ind/>
        <w:spacing w:before="0" w:after="0" w:line="480" w:lineRule="auto"/>
        <w:keepNext/>
      </w:pPr>
      <w:r>
        <w:rPr>
          <w:i/>
          <w:iCs/>
          <w:rFonts w:ascii="Times New Roman" w:hAnsi="Times New Roman" w:eastAsia="Times New Roman" w:cs="Times New Roman"/>
          <w:sz w:val="24"/>
          <w:szCs w:val="24"/>
          <w:color w:val="000000"/>
        </w:rPr>
        <w:t xml:space="preserve">Phased development plan</w:t>
      </w:r>
    </w:p>
    <w:tbl>
      <w:tblPr>
        <w:tblStyle w:val="Table"/>
        <w:tblW w:type="dxa" w:w="9360"/>
        <w:tblLayout w:type="fixed"/>
        <w:tblLook w:firstRow="1" w:lastRow="0" w:firstColumn="0" w:lastColumn="0" w:noHBand="0" w:noVBand="0" w:val="0020"/>
        <w:tblBorders>
          <w:top w:val="nil" w:sz="0" w:color="FFFFFF"/>
          <w:bottom w:val="nil" w:sz="0" w:color="FFFFFF"/>
          <w:left w:val="nil" w:sz="0" w:color="FFFFFF"/>
          <w:right w:val="nil" w:sz="0" w:color="FFFFFF"/>
          <w:insideH w:val="nil" w:sz="0" w:color="FFFFFF"/>
          <w:insideV w:val="nil" w:sz="0" w:color="FFFFFF"/>
        </w:tblBorders>
        <w:tblCellMar>
          <w:top w:type="dxa" w:w="120"/>
          <w:bottom w:type="dxa" w:w="120"/>
          <w:left w:type="dxa" w:w="140"/>
          <w:right w:type="dxa" w:w="140"/>
        </w:tblCellMar>
      </w:tblPr>
      <w:tblGrid>
        <w:gridCol w:w="1750"/>
        <w:gridCol w:w="1350"/>
        <w:gridCol w:w="2750"/>
        <w:gridCol w:w="3510"/>
      </w:tblGrid>
      <w:tr>
        <w:trPr>
          <w:tblHeader w:val="on"/>
        </w:trPr>
        <w:tc>
          <w:tcPr>
            <w:tcW w:type="dxa" w:w="1750"/>
            <w:tcBorders>
              <w:top w:val="single" w:sz="8" w:space="0" w:color="000000"/>
              <w:bottom w:val="single" w:sz="8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  <w:b/>
              </w:rPr>
              <w:t xml:space="preserve">阶段</w:t>
            </w:r>
          </w:p>
        </w:tc>
        <w:tc>
          <w:tcPr>
            <w:tcW w:type="dxa" w:w="1350"/>
            <w:tcBorders>
              <w:top w:val="single" w:sz="8" w:space="0" w:color="000000"/>
              <w:bottom w:val="single" w:sz="8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  <w:b/>
              </w:rPr>
              <w:t xml:space="preserve">时间</w:t>
            </w:r>
          </w:p>
        </w:tc>
        <w:tc>
          <w:tcPr>
            <w:tcW w:type="dxa" w:w="2750"/>
            <w:tcBorders>
              <w:top w:val="single" w:sz="8" w:space="0" w:color="000000"/>
              <w:bottom w:val="single" w:sz="8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  <w:b/>
              </w:rPr>
              <w:t xml:space="preserve">目标</w:t>
            </w:r>
          </w:p>
        </w:tc>
        <w:tc>
          <w:tcPr>
            <w:tcW w:type="dxa" w:w="3510"/>
            <w:tcBorders>
              <w:top w:val="single" w:sz="8" w:space="0" w:color="000000"/>
              <w:bottom w:val="single" w:sz="8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  <w:b/>
              </w:rPr>
              <w:t xml:space="preserve">关键交付物</w:t>
            </w:r>
          </w:p>
        </w:tc>
      </w:tr>
      <w:tr>
        <w:tc>
          <w:tcPr>
            <w:tcW w:type="dxa" w:w="175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Stabilization</w:t>
            </w:r>
          </w:p>
        </w:tc>
        <w:tc>
          <w:tcPr>
            <w:tcW w:type="dxa" w:w="135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0-1 </w:t>
            </w: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个月</w:t>
            </w:r>
          </w:p>
        </w:tc>
        <w:tc>
          <w:tcPr>
            <w:tcW w:type="dxa" w:w="275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修复部署与工程质量基础</w:t>
            </w:r>
          </w:p>
        </w:tc>
        <w:tc>
          <w:tcPr>
            <w:tcW w:type="dxa" w:w="351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域名健康、CI、lint、README、demo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 QA</w:t>
            </w:r>
          </w:p>
        </w:tc>
      </w:tr>
      <w:tr>
        <w:tc>
          <w:tcPr>
            <w:tcW w:type="dxa" w:w="175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Pilot package</w:t>
            </w:r>
          </w:p>
        </w:tc>
        <w:tc>
          <w:tcPr>
            <w:tcW w:type="dxa" w:w="135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1-3 </w:t>
            </w: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个月</w:t>
            </w:r>
          </w:p>
        </w:tc>
        <w:tc>
          <w:tcPr>
            <w:tcW w:type="dxa" w:w="275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支撑研究和教育试点</w:t>
            </w:r>
          </w:p>
        </w:tc>
        <w:tc>
          <w:tcPr>
            <w:tcW w:type="dxa" w:w="351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数据模板、报告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 pipeline、benchmark </w:t>
            </w: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notes、案例</w:t>
            </w:r>
          </w:p>
        </w:tc>
      </w:tr>
      <w:tr>
        <w:tc>
          <w:tcPr>
            <w:tcW w:type="dxa" w:w="175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Project platform</w:t>
            </w:r>
          </w:p>
        </w:tc>
        <w:tc>
          <w:tcPr>
            <w:tcW w:type="dxa" w:w="135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3-6 </w:t>
            </w: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个月</w:t>
            </w:r>
          </w:p>
        </w:tc>
        <w:tc>
          <w:tcPr>
            <w:tcW w:type="dxa" w:w="275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从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 POC </w:t>
            </w: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变成可保存工作流</w:t>
            </w:r>
          </w:p>
        </w:tc>
        <w:tc>
          <w:tcPr>
            <w:tcW w:type="dxa" w:w="351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Auth、projects、uploads、snapshots、review</w:t>
            </w:r>
          </w:p>
        </w:tc>
      </w:tr>
      <w:tr>
        <w:tc>
          <w:tcPr>
            <w:tcW w:type="dxa" w:w="175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Institution pilot</w:t>
            </w:r>
          </w:p>
        </w:tc>
        <w:tc>
          <w:tcPr>
            <w:tcW w:type="dxa" w:w="135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6-12 </w:t>
            </w: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个月</w:t>
            </w:r>
          </w:p>
        </w:tc>
        <w:tc>
          <w:tcPr>
            <w:tcW w:type="dxa" w:w="275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满足机构治理要求</w:t>
            </w:r>
          </w:p>
        </w:tc>
        <w:tc>
          <w:tcPr>
            <w:tcW w:type="dxa" w:w="351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RBAC、audit、匿名化、retention、monitoring</w:t>
            </w:r>
          </w:p>
        </w:tc>
      </w:tr>
      <w:tr>
        <w:tc>
          <w:tcPr>
            <w:tcW w:type="dxa" w:w="1750"/>
            <w:tcBorders>
              <w:top w:val="nil" w:sz="0" w:space="0" w:color="000000"/>
              <w:bottom w:val="single" w:sz="8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Scale</w:t>
            </w:r>
          </w:p>
        </w:tc>
        <w:tc>
          <w:tcPr>
            <w:tcW w:type="dxa" w:w="1350"/>
            <w:tcBorders>
              <w:top w:val="nil" w:sz="0" w:space="0" w:color="000000"/>
              <w:bottom w:val="single" w:sz="8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12+ </w:t>
            </w: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个月</w:t>
            </w:r>
          </w:p>
        </w:tc>
        <w:tc>
          <w:tcPr>
            <w:tcW w:type="dxa" w:w="2750"/>
            <w:tcBorders>
              <w:top w:val="nil" w:sz="0" w:space="0" w:color="000000"/>
              <w:bottom w:val="single" w:sz="8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扩展生态和统计能力</w:t>
            </w:r>
          </w:p>
        </w:tc>
        <w:tc>
          <w:tcPr>
            <w:tcW w:type="dxa" w:w="3510"/>
            <w:tcBorders>
              <w:top w:val="nil" w:sz="0" w:space="0" w:color="000000"/>
              <w:bottom w:val="single" w:sz="8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API、LMS/LTI、advanced stats、SaaS readiness</w:t>
            </w:r>
          </w:p>
        </w:tc>
      </w:tr>
    </w:tbl>
    <w:p>
      <w:pPr>
        <w:pStyle w:val="BodyText"/>
        <w:jc w:val="left"/>
        <w:ind/>
        <w:spacing w:before="0" w:after="0" w:line="480" w:lineRule="auto"/>
      </w:pPr>
      <w:r>
        <w:rPr>
          <w:i/>
          <w:iCs/>
          <w:rFonts w:ascii="Times New Roman" w:hAnsi="Times New Roman" w:eastAsia="Times New Roman" w:cs="Times New Roman"/>
          <w:sz w:val="24"/>
          <w:szCs w:val="24"/>
          <w:color w:val="000000"/>
        </w:rPr>
        <w:t xml:space="preserve">Note.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阶段顺序应优先服从验证结果；若部署或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benchmark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未通过，不应提前进入机构试点。</w:t>
      </w:r>
    </w:p>
    <w:bookmarkEnd w:id="27"/>
    <w:bookmarkStart w:id="28" w:name="功能优先级与-backlog"/>
    <w:p>
      <w:pPr>
        <w:pStyle w:val="Heading2"/>
        <w:jc w:val="center"/>
        <w:ind/>
        <w:spacing w:before="0" w:after="0" w:line="480" w:lineRule="auto"/>
        <w:keepNext/>
      </w:pPr>
      <w:r>
        <w:rPr>
          <w:rFonts w:hint="eastAsia" w:ascii="Times New Roman" w:hAnsi="Times New Roman" w:eastAsia="Times New Roman" w:cs="Times New Roman"/>
          <w:sz w:val="24"/>
          <w:szCs w:val="24"/>
          <w:color w:val="000000"/>
          <w:b/>
          <w:bCs/>
        </w:rPr>
        <w:t xml:space="preserve">功能优先级与</w:t>
      </w:r>
      <w:r>
        <w:rPr>
          <w:rFonts w:ascii="Times New Roman" w:hAnsi="Times New Roman" w:eastAsia="Times New Roman" w:cs="Times New Roman"/>
          <w:sz w:val="24"/>
          <w:szCs w:val="24"/>
          <w:color w:val="000000"/>
          <w:b/>
          <w:bCs/>
        </w:rPr>
        <w:t xml:space="preserve"> backlog</w:t>
      </w:r>
    </w:p>
    <w:p>
      <w:pPr>
        <w:pStyle w:val="FirstParagraph"/>
        <w:jc w:val="left"/>
        <w:ind w:firstLine="720"/>
        <w:spacing w:before="0" w:after="0" w:line="48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Backlog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排序应基于用户价值、方法可信度和风险降低，而不是视觉新颖性。第一优先级是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P0：修复线上访问、建立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CI、把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lint/test/build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设为质量门禁、固定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demo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数据、生成可打开的正式报告、补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README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与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docs。第二优先级是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P1：数据模板、codebook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template、saved analysis、project manifest、report artifact、benchmark suite、accessibility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audit。第三优先级是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P2：auth/RBAC、audit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log、anonymization、human review workflow、share/review links、teacher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mode。第四优先级是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P3：AI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coding assistant、advanced joint embedding、permutation testing、group comparison、LMS integration、tenant admin、billing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或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generalized SaaS。</w:t>
      </w:r>
    </w:p>
    <w:p>
      <w:pPr>
        <w:pStyle w:val="BodyText"/>
        <w:jc w:val="left"/>
        <w:ind w:firstLine="720"/>
        <w:spacing w:before="0" w:after="0" w:line="480" w:lineRule="auto"/>
      </w:pP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当前最容易被低估的是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report artifact pipeline。SENA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的用户最终需要把图、表、参数、证据和解释带到论文、课程会议、伦理审批或项目评估中。JSON/Markdown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导出是基础，但不足以成为正式交付物。建议先做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DOCX/PDF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报告模板，再做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interactive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report。报告模板必须包含：数据摘要、参数、S/W/B/G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矩阵、SNA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指标、ENA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summary、temporal windows、evidence snippets、human review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字段、limitations、AI-use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statement、privacy statement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和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appendix。</w:t>
      </w:r>
    </w:p>
    <w:p>
      <w:pPr>
        <w:pStyle w:val="BodyText"/>
        <w:jc w:val="left"/>
        <w:ind/>
        <w:spacing w:before="0" w:after="0" w:line="480" w:lineRule="auto"/>
        <w:keepNext/>
      </w:pP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 xml:space="preserve">Table 6</w:t>
      </w:r>
    </w:p>
    <w:p>
      <w:pPr>
        <w:pStyle w:val="BodyText"/>
        <w:jc w:val="left"/>
        <w:ind/>
        <w:spacing w:before="0" w:after="0" w:line="480" w:lineRule="auto"/>
        <w:keepNext/>
      </w:pPr>
      <w:r>
        <w:rPr>
          <w:i/>
          <w:iCs/>
          <w:rFonts w:ascii="Times New Roman" w:hAnsi="Times New Roman" w:eastAsia="Times New Roman" w:cs="Times New Roman"/>
          <w:sz w:val="24"/>
          <w:szCs w:val="24"/>
          <w:color w:val="000000"/>
        </w:rPr>
        <w:t xml:space="preserve">Prioritized product backlog</w:t>
      </w:r>
    </w:p>
    <w:tbl>
      <w:tblPr>
        <w:tblStyle w:val="Table"/>
        <w:tblW w:type="dxa" w:w="9360"/>
        <w:tblLayout w:type="fixed"/>
        <w:tblLook w:firstRow="1" w:lastRow="0" w:firstColumn="0" w:lastColumn="0" w:noHBand="0" w:noVBand="0" w:val="0020"/>
        <w:tblBorders>
          <w:top w:val="nil" w:sz="0" w:color="FFFFFF"/>
          <w:bottom w:val="nil" w:sz="0" w:color="FFFFFF"/>
          <w:left w:val="nil" w:sz="0" w:color="FFFFFF"/>
          <w:right w:val="nil" w:sz="0" w:color="FFFFFF"/>
          <w:insideH w:val="nil" w:sz="0" w:color="FFFFFF"/>
          <w:insideV w:val="nil" w:sz="0" w:color="FFFFFF"/>
        </w:tblBorders>
        <w:tblCellMar>
          <w:top w:type="dxa" w:w="120"/>
          <w:bottom w:type="dxa" w:w="120"/>
          <w:left w:type="dxa" w:w="140"/>
          <w:right w:type="dxa" w:w="140"/>
        </w:tblCellMar>
      </w:tblPr>
      <w:tblGrid>
        <w:gridCol w:w="1250"/>
        <w:gridCol w:w="2850"/>
        <w:gridCol w:w="2500"/>
        <w:gridCol w:w="2760"/>
      </w:tblGrid>
      <w:tr>
        <w:trPr>
          <w:tblHeader w:val="on"/>
        </w:trPr>
        <w:tc>
          <w:tcPr>
            <w:tcW w:type="dxa" w:w="1250"/>
            <w:tcBorders>
              <w:top w:val="single" w:sz="8" w:space="0" w:color="000000"/>
              <w:bottom w:val="single" w:sz="8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  <w:b/>
              </w:rPr>
              <w:t xml:space="preserve">优先级</w:t>
            </w:r>
          </w:p>
        </w:tc>
        <w:tc>
          <w:tcPr>
            <w:tcW w:type="dxa" w:w="2850"/>
            <w:tcBorders>
              <w:top w:val="single" w:sz="8" w:space="0" w:color="000000"/>
              <w:bottom w:val="single" w:sz="8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  <w:b/>
              </w:rPr>
              <w:t xml:space="preserve">Backlog item</w:t>
            </w:r>
          </w:p>
        </w:tc>
        <w:tc>
          <w:tcPr>
            <w:tcW w:type="dxa" w:w="2500"/>
            <w:tcBorders>
              <w:top w:val="single" w:sz="8" w:space="0" w:color="000000"/>
              <w:bottom w:val="single" w:sz="8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  <w:b/>
              </w:rPr>
              <w:t xml:space="preserve">理由</w:t>
            </w:r>
          </w:p>
        </w:tc>
        <w:tc>
          <w:tcPr>
            <w:tcW w:type="dxa" w:w="2760"/>
            <w:tcBorders>
              <w:top w:val="single" w:sz="8" w:space="0" w:color="000000"/>
              <w:bottom w:val="single" w:sz="8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  <w:b/>
              </w:rPr>
              <w:t xml:space="preserve">验收标准</w:t>
            </w:r>
          </w:p>
        </w:tc>
      </w:tr>
      <w:tr>
        <w:tc>
          <w:tcPr>
            <w:tcW w:type="dxa" w:w="125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P0</w:t>
            </w:r>
          </w:p>
        </w:tc>
        <w:tc>
          <w:tcPr>
            <w:tcW w:type="dxa" w:w="285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修复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 www.sena.hk </w:t>
            </w: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线上健康</w:t>
            </w:r>
          </w:p>
        </w:tc>
        <w:tc>
          <w:tcPr>
            <w:tcW w:type="dxa" w:w="250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外部可信度基础</w:t>
            </w:r>
          </w:p>
        </w:tc>
        <w:tc>
          <w:tcPr>
            <w:tcW w:type="dxa" w:w="276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主页和两个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 workspace </w:t>
            </w: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均可访问，有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 health check</w:t>
            </w:r>
          </w:p>
        </w:tc>
      </w:tr>
      <w:tr>
        <w:tc>
          <w:tcPr>
            <w:tcW w:type="dxa" w:w="125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P0</w:t>
            </w:r>
          </w:p>
        </w:tc>
        <w:tc>
          <w:tcPr>
            <w:tcW w:type="dxa" w:w="285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配置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 CI lint/build/test</w:t>
            </w:r>
          </w:p>
        </w:tc>
        <w:tc>
          <w:tcPr>
            <w:tcW w:type="dxa" w:w="250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防止质量漂移</w:t>
            </w:r>
          </w:p>
        </w:tc>
        <w:tc>
          <w:tcPr>
            <w:tcW w:type="dxa" w:w="276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lint </w:t>
            </w: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非交互执行，test/build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在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 CI </w:t>
            </w: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通过</w:t>
            </w:r>
          </w:p>
        </w:tc>
      </w:tr>
      <w:tr>
        <w:tc>
          <w:tcPr>
            <w:tcW w:type="dxa" w:w="125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P0</w:t>
            </w:r>
          </w:p>
        </w:tc>
        <w:tc>
          <w:tcPr>
            <w:tcW w:type="dxa" w:w="285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完整项目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 README </w:t>
            </w: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与路线文档</w:t>
            </w:r>
          </w:p>
        </w:tc>
        <w:tc>
          <w:tcPr>
            <w:tcW w:type="dxa" w:w="250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降低协作成本</w:t>
            </w:r>
          </w:p>
        </w:tc>
        <w:tc>
          <w:tcPr>
            <w:tcW w:type="dxa" w:w="276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新成员可按文档运行、测试、理解数据流</w:t>
            </w:r>
          </w:p>
        </w:tc>
      </w:tr>
      <w:tr>
        <w:tc>
          <w:tcPr>
            <w:tcW w:type="dxa" w:w="125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P1</w:t>
            </w:r>
          </w:p>
        </w:tc>
        <w:tc>
          <w:tcPr>
            <w:tcW w:type="dxa" w:w="285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SENA report DOCX/PDF pipeline</w:t>
            </w:r>
          </w:p>
        </w:tc>
        <w:tc>
          <w:tcPr>
            <w:tcW w:type="dxa" w:w="250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研究用户核心交付</w:t>
            </w:r>
          </w:p>
        </w:tc>
        <w:tc>
          <w:tcPr>
            <w:tcW w:type="dxa" w:w="276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从项目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 snapshot </w:t>
            </w: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生成可复核报告</w:t>
            </w:r>
          </w:p>
        </w:tc>
      </w:tr>
      <w:tr>
        <w:tc>
          <w:tcPr>
            <w:tcW w:type="dxa" w:w="125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P1</w:t>
            </w:r>
          </w:p>
        </w:tc>
        <w:tc>
          <w:tcPr>
            <w:tcW w:type="dxa" w:w="285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rENA/jENA </w:t>
            </w: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 R sna benchmark</w:t>
            </w:r>
          </w:p>
        </w:tc>
        <w:tc>
          <w:tcPr>
            <w:tcW w:type="dxa" w:w="250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方法可信度</w:t>
            </w:r>
          </w:p>
        </w:tc>
        <w:tc>
          <w:tcPr>
            <w:tcW w:type="dxa" w:w="276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金标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fixture、误差阈值、差异说明</w:t>
            </w:r>
          </w:p>
        </w:tc>
      </w:tr>
      <w:tr>
        <w:tc>
          <w:tcPr>
            <w:tcW w:type="dxa" w:w="125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P1</w:t>
            </w:r>
          </w:p>
        </w:tc>
        <w:tc>
          <w:tcPr>
            <w:tcW w:type="dxa" w:w="285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Project manifest </w:t>
            </w: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 saved analysis</w:t>
            </w:r>
          </w:p>
        </w:tc>
        <w:tc>
          <w:tcPr>
            <w:tcW w:type="dxa" w:w="250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可复现基础</w:t>
            </w:r>
          </w:p>
        </w:tc>
        <w:tc>
          <w:tcPr>
            <w:tcW w:type="dxa" w:w="276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每次分析保存数据版本、参数、输出</w:t>
            </w:r>
          </w:p>
        </w:tc>
      </w:tr>
      <w:tr>
        <w:tc>
          <w:tcPr>
            <w:tcW w:type="dxa" w:w="125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P2</w:t>
            </w:r>
          </w:p>
        </w:tc>
        <w:tc>
          <w:tcPr>
            <w:tcW w:type="dxa" w:w="285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Auth、RBAC </w:t>
            </w: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 audit log</w:t>
            </w:r>
          </w:p>
        </w:tc>
        <w:tc>
          <w:tcPr>
            <w:tcW w:type="dxa" w:w="250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机构试点门槛</w:t>
            </w:r>
          </w:p>
        </w:tc>
        <w:tc>
          <w:tcPr>
            <w:tcW w:type="dxa" w:w="276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用户、角色、访问事件和导出事件可追踪</w:t>
            </w:r>
          </w:p>
        </w:tc>
      </w:tr>
      <w:tr>
        <w:tc>
          <w:tcPr>
            <w:tcW w:type="dxa" w:w="125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P2</w:t>
            </w:r>
          </w:p>
        </w:tc>
        <w:tc>
          <w:tcPr>
            <w:tcW w:type="dxa" w:w="285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Anonymization workflow</w:t>
            </w:r>
          </w:p>
        </w:tc>
        <w:tc>
          <w:tcPr>
            <w:tcW w:type="dxa" w:w="250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教育数据安全</w:t>
            </w:r>
          </w:p>
        </w:tc>
        <w:tc>
          <w:tcPr>
            <w:tcW w:type="dxa" w:w="276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导入前后可标记脱敏状态和映射保管</w:t>
            </w:r>
          </w:p>
        </w:tc>
      </w:tr>
      <w:tr>
        <w:tc>
          <w:tcPr>
            <w:tcW w:type="dxa" w:w="125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P2</w:t>
            </w:r>
          </w:p>
        </w:tc>
        <w:tc>
          <w:tcPr>
            <w:tcW w:type="dxa" w:w="285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Teacher Review Mode</w:t>
            </w:r>
          </w:p>
        </w:tc>
        <w:tc>
          <w:tcPr>
            <w:tcW w:type="dxa" w:w="250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扩展教育使用</w:t>
            </w:r>
          </w:p>
        </w:tc>
        <w:tc>
          <w:tcPr>
            <w:tcW w:type="dxa" w:w="276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教师无需矩阵术语即可复盘证据</w:t>
            </w:r>
          </w:p>
        </w:tc>
      </w:tr>
      <w:tr>
        <w:tc>
          <w:tcPr>
            <w:tcW w:type="dxa" w:w="125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P3</w:t>
            </w:r>
          </w:p>
        </w:tc>
        <w:tc>
          <w:tcPr>
            <w:tcW w:type="dxa" w:w="285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AI coding assistant</w:t>
            </w:r>
          </w:p>
        </w:tc>
        <w:tc>
          <w:tcPr>
            <w:tcW w:type="dxa" w:w="250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提升效率但风险较高</w:t>
            </w:r>
          </w:p>
        </w:tc>
        <w:tc>
          <w:tcPr>
            <w:tcW w:type="dxa" w:w="276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prompt/version/confidence/review </w:t>
            </w: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全部留痕</w:t>
            </w:r>
          </w:p>
        </w:tc>
      </w:tr>
      <w:tr>
        <w:tc>
          <w:tcPr>
            <w:tcW w:type="dxa" w:w="1250"/>
            <w:tcBorders>
              <w:top w:val="nil" w:sz="0" w:space="0" w:color="000000"/>
              <w:bottom w:val="single" w:sz="8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P3</w:t>
            </w:r>
          </w:p>
        </w:tc>
        <w:tc>
          <w:tcPr>
            <w:tcW w:type="dxa" w:w="2850"/>
            <w:tcBorders>
              <w:top w:val="nil" w:sz="0" w:space="0" w:color="000000"/>
              <w:bottom w:val="single" w:sz="8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Advanced joint embedding</w:t>
            </w:r>
          </w:p>
        </w:tc>
        <w:tc>
          <w:tcPr>
            <w:tcW w:type="dxa" w:w="2500"/>
            <w:tcBorders>
              <w:top w:val="nil" w:sz="0" w:space="0" w:color="000000"/>
              <w:bottom w:val="single" w:sz="8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强化方法创新</w:t>
            </w:r>
          </w:p>
        </w:tc>
        <w:tc>
          <w:tcPr>
            <w:tcW w:type="dxa" w:w="2760"/>
            <w:tcBorders>
              <w:top w:val="nil" w:sz="0" w:space="0" w:color="000000"/>
              <w:bottom w:val="single" w:sz="8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稳定性检验和解释边界写入报告</w:t>
            </w:r>
          </w:p>
        </w:tc>
      </w:tr>
    </w:tbl>
    <w:p>
      <w:pPr>
        <w:pStyle w:val="BodyText"/>
        <w:jc w:val="left"/>
        <w:ind/>
        <w:spacing w:before="0" w:after="0" w:line="480" w:lineRule="auto"/>
      </w:pPr>
      <w:r>
        <w:rPr>
          <w:i/>
          <w:iCs/>
          <w:rFonts w:ascii="Times New Roman" w:hAnsi="Times New Roman" w:eastAsia="Times New Roman" w:cs="Times New Roman"/>
          <w:sz w:val="24"/>
          <w:szCs w:val="24"/>
          <w:color w:val="000000"/>
        </w:rPr>
        <w:t xml:space="preserve">Note.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P0/P1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项应优先于新增装饰性页面或大范围视觉重构。</w:t>
      </w:r>
    </w:p>
    <w:bookmarkEnd w:id="28"/>
    <w:bookmarkStart w:id="32" w:name="测试验证与-benchmark-计划"/>
    <w:p>
      <w:pPr>
        <w:pStyle w:val="Heading2"/>
        <w:jc w:val="center"/>
        <w:ind/>
        <w:spacing w:before="0" w:after="0" w:line="480" w:lineRule="auto"/>
        <w:keepNext/>
      </w:pPr>
      <w:r>
        <w:rPr>
          <w:rFonts w:hint="eastAsia" w:ascii="Times New Roman" w:hAnsi="Times New Roman" w:eastAsia="Times New Roman" w:cs="Times New Roman"/>
          <w:sz w:val="24"/>
          <w:szCs w:val="24"/>
          <w:color w:val="000000"/>
          <w:b/>
          <w:bCs/>
        </w:rPr>
        <w:t xml:space="preserve">测试、验证与</w:t>
      </w:r>
      <w:r>
        <w:rPr>
          <w:rFonts w:ascii="Times New Roman" w:hAnsi="Times New Roman" w:eastAsia="Times New Roman" w:cs="Times New Roman"/>
          <w:sz w:val="24"/>
          <w:szCs w:val="24"/>
          <w:color w:val="000000"/>
          <w:b/>
          <w:bCs/>
        </w:rPr>
        <w:t xml:space="preserve"> benchmark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  <w:b/>
          <w:bCs/>
        </w:rPr>
        <w:t xml:space="preserve">计划</w:t>
      </w:r>
    </w:p>
    <w:p>
      <w:pPr>
        <w:pStyle w:val="FirstParagraph"/>
        <w:jc w:val="left"/>
        <w:ind w:firstLine="720"/>
        <w:spacing w:before="0" w:after="0" w:line="480" w:lineRule="auto"/>
      </w:pP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当前测试基础比一般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POC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更好，但仍不足以支撑研究平台。</w:t>
      </w:r>
      <w:r>
        <w:rPr>
          <w:rStyle w:val="VerbatimChar"/>
          <w:rFonts w:ascii="Times New Roman" w:hAnsi="Times New Roman" w:eastAsia="Times New Roman" w:cs="Times New Roman"/>
          <w:sz w:val="24"/>
          <w:szCs w:val="24"/>
          <w:color w:val="000000"/>
        </w:rPr>
        <w:t xml:space="preserve">sena-hk-template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已有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ENA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和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SENA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测试，覆盖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CSV parsing、input validation、jENA execution、worker/API result equivalence、S/W/B/G/fusion、temporal windows、scoped calculations、SENA report package、Markdown report、SNA.js metrics、bridge metrics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和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import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mapping。这个基础应继续扩展到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edge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cases：空图、单人、孤立节点、未知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person/code、重复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IDs、长文本、非英文文本、极端权重、turnIndex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缺失、stage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乱序、多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codebook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版本和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large dataset。</w:t>
      </w:r>
    </w:p>
    <w:p>
      <w:pPr>
        <w:pStyle w:val="BodyText"/>
        <w:jc w:val="left"/>
        <w:ind w:firstLine="720"/>
        <w:spacing w:before="0" w:after="0" w:line="48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Benchmark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计划应分三条线。第一条是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jENA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与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rENA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parity：当前已用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R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生成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toy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与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research-shaped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goldens，并比较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connection counts、line weights、rotation、node positions、unit points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和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variance；下一步应加入更多公开标准数据、极端参数和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plot model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round-trip。第二条是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SNA.js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与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R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4"/>
          <w:szCs w:val="24"/>
          <w:color w:val="000000"/>
        </w:rPr>
        <w:t xml:space="preserve">sna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parity：先覆盖当前实际使用的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density、nties、degree、geodist、components、isConnected，再逐步加入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closeness、betweenness、reciprocity、community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或明确使用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SENA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自实现并给出差异说明。第三条是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SENA fusion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validation：检查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normalization sensitivity、</w:t>
      </w:r>
      <w:r>
        <w:rPr>
          <w:rStyle w:val="VerbatimChar"/>
          <w:rFonts w:ascii="Times New Roman" w:hAnsi="Times New Roman" w:eastAsia="Times New Roman" w:cs="Times New Roman"/>
          <w:sz w:val="24"/>
          <w:szCs w:val="24"/>
          <w:color w:val="000000"/>
        </w:rPr>
        <w:t xml:space="preserve">alpha/beta/gamma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sensitivity、temporal window stability、joint layout reproducibility、evidence trace completeness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和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report round-trip。</w:t>
      </w:r>
    </w:p>
    <w:p>
      <w:pPr>
        <w:pStyle w:val="BodyText"/>
        <w:jc w:val="left"/>
        <w:ind w:firstLine="720"/>
        <w:spacing w:before="0" w:after="0" w:line="48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UX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和可访问性测试也必须进入计划。SENA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的图和表复杂，不能只靠单元测试。需要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Playwright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测试上传、mapping、运行、切换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runtime、导出、时间窗播放、图节点选择、报告填写、语言/主题切换和移动端布局。对于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SVG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图，应验证不是空白、文本不重叠、可通过键盘或列表替代入口访问关键证据。对于报告，应验证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DOCX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可打开、表格不溢出、figures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有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captions、references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格式正确、metadata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不泄露敏感信息。</w:t>
      </w:r>
    </w:p>
    <w:p>
      <w:pPr>
        <w:pStyle w:val="BodyText"/>
        <w:jc w:val="left"/>
        <w:ind/>
        <w:spacing w:before="0" w:after="0" w:line="480" w:lineRule="auto"/>
        <w:keepNext/>
      </w:pP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 xml:space="preserve">Figure 4</w:t>
      </w:r>
    </w:p>
    <w:p>
      <w:pPr>
        <w:pStyle w:val="BodyText"/>
        <w:jc w:val="left"/>
        <w:ind/>
        <w:spacing w:before="0" w:after="0" w:line="480" w:lineRule="auto"/>
        <w:keepNext/>
      </w:pPr>
      <w:r>
        <w:rPr>
          <w:i/>
          <w:iCs/>
          <w:rFonts w:ascii="Times New Roman" w:hAnsi="Times New Roman" w:eastAsia="Times New Roman" w:cs="Times New Roman"/>
          <w:sz w:val="24"/>
          <w:szCs w:val="24"/>
          <w:color w:val="000000"/>
        </w:rPr>
        <w:t xml:space="preserve">Validation, benchmark, and deployment lifecycle</w:t>
      </w:r>
    </w:p>
    <w:p>
      <w:pPr>
        <w:pStyle w:val="BodyText"/>
        <w:jc w:val="center"/>
        <w:ind/>
        <w:spacing w:before="0" w:after="0" w:line="48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drawing>
          <ns1:inline>
            <ns1:extent cx="5334000" cy="3012141"/>
            <ns1:effectExtent b="0" l="0" r="0" t="0"/>
            <ns1:docPr descr="" title="" id="30" name="Picture"/>
            <ns2:graphic>
              <ns2:graphicData uri="http://schemas.openxmlformats.org/drawingml/2006/picture">
                <ns3:pic>
                  <ns3:nvPicPr>
                    <ns3:cNvPr descr="figure_4_validation_lifecycle.png" id="31" name="Picture"/>
                    <ns3:cNvPicPr>
                      <ns2:picLocks noChangeArrowheads="1" noChangeAspect="1"/>
                    </ns3:cNvPicPr>
                  </ns3:nvPicPr>
                  <ns3:blipFill>
                    <ns2:blip r:embed="rId29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334000" cy="3012141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p>
      <w:pPr>
        <w:pStyle w:val="BodyText"/>
        <w:jc w:val="left"/>
        <w:ind/>
        <w:spacing w:before="0" w:after="0" w:line="480" w:lineRule="auto"/>
      </w:pPr>
      <w:r>
        <w:rPr>
          <w:i/>
          <w:iCs/>
          <w:rFonts w:ascii="Times New Roman" w:hAnsi="Times New Roman" w:eastAsia="Times New Roman" w:cs="Times New Roman"/>
          <w:sz w:val="24"/>
          <w:szCs w:val="24"/>
          <w:color w:val="000000"/>
        </w:rPr>
        <w:t xml:space="preserve">Note.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The lifecycle joins method validation with normal frontend release checks.</w:t>
      </w:r>
    </w:p>
    <w:p>
      <w:pPr>
        <w:pStyle w:val="BodyText"/>
        <w:jc w:val="left"/>
        <w:ind/>
        <w:spacing w:before="0" w:after="0" w:line="480" w:lineRule="auto"/>
        <w:keepNext/>
      </w:pP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 xml:space="preserve">Table 7</w:t>
      </w:r>
    </w:p>
    <w:p>
      <w:pPr>
        <w:pStyle w:val="BodyText"/>
        <w:jc w:val="left"/>
        <w:ind/>
        <w:spacing w:before="0" w:after="0" w:line="480" w:lineRule="auto"/>
        <w:keepNext/>
      </w:pPr>
      <w:r>
        <w:rPr>
          <w:i/>
          <w:iCs/>
          <w:rFonts w:ascii="Times New Roman" w:hAnsi="Times New Roman" w:eastAsia="Times New Roman" w:cs="Times New Roman"/>
          <w:sz w:val="24"/>
          <w:szCs w:val="24"/>
          <w:color w:val="000000"/>
        </w:rPr>
        <w:t xml:space="preserve">Testing and benchmark plan</w:t>
      </w:r>
    </w:p>
    <w:tbl>
      <w:tblPr>
        <w:tblStyle w:val="Table"/>
        <w:tblW w:type="dxa" w:w="9360"/>
        <w:tblLayout w:type="fixed"/>
        <w:tblLook w:firstRow="1" w:lastRow="0" w:firstColumn="0" w:lastColumn="0" w:noHBand="0" w:noVBand="0" w:val="0020"/>
        <w:tblBorders>
          <w:top w:val="nil" w:sz="0" w:color="FFFFFF"/>
          <w:bottom w:val="nil" w:sz="0" w:color="FFFFFF"/>
          <w:left w:val="nil" w:sz="0" w:color="FFFFFF"/>
          <w:right w:val="nil" w:sz="0" w:color="FFFFFF"/>
          <w:insideH w:val="nil" w:sz="0" w:color="FFFFFF"/>
          <w:insideV w:val="nil" w:sz="0" w:color="FFFFFF"/>
        </w:tblBorders>
        <w:tblCellMar>
          <w:top w:type="dxa" w:w="120"/>
          <w:bottom w:type="dxa" w:w="120"/>
          <w:left w:type="dxa" w:w="140"/>
          <w:right w:type="dxa" w:w="140"/>
        </w:tblCellMar>
      </w:tblPr>
      <w:tblGrid>
        <w:gridCol w:w="1700"/>
        <w:gridCol w:w="2750"/>
        <w:gridCol w:w="2700"/>
        <w:gridCol w:w="2210"/>
      </w:tblGrid>
      <w:tr>
        <w:trPr>
          <w:tblHeader w:val="on"/>
        </w:trPr>
        <w:tc>
          <w:tcPr>
            <w:tcW w:type="dxa" w:w="1700"/>
            <w:tcBorders>
              <w:top w:val="single" w:sz="8" w:space="0" w:color="000000"/>
              <w:bottom w:val="single" w:sz="8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  <w:b/>
              </w:rPr>
              <w:t xml:space="preserve">测试层</w:t>
            </w:r>
          </w:p>
        </w:tc>
        <w:tc>
          <w:tcPr>
            <w:tcW w:type="dxa" w:w="2750"/>
            <w:tcBorders>
              <w:top w:val="single" w:sz="8" w:space="0" w:color="000000"/>
              <w:bottom w:val="single" w:sz="8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  <w:b/>
              </w:rPr>
              <w:t xml:space="preserve">当前状态</w:t>
            </w:r>
          </w:p>
        </w:tc>
        <w:tc>
          <w:tcPr>
            <w:tcW w:type="dxa" w:w="2700"/>
            <w:tcBorders>
              <w:top w:val="single" w:sz="8" w:space="0" w:color="000000"/>
              <w:bottom w:val="single" w:sz="8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  <w:b/>
              </w:rPr>
              <w:t xml:space="preserve">下一步</w:t>
            </w:r>
          </w:p>
        </w:tc>
        <w:tc>
          <w:tcPr>
            <w:tcW w:type="dxa" w:w="2210"/>
            <w:tcBorders>
              <w:top w:val="single" w:sz="8" w:space="0" w:color="000000"/>
              <w:bottom w:val="single" w:sz="8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  <w:b/>
              </w:rPr>
              <w:t xml:space="preserve">成功标准</w:t>
            </w:r>
          </w:p>
        </w:tc>
      </w:tr>
      <w:tr>
        <w:tc>
          <w:tcPr>
            <w:tcW w:type="dxa" w:w="170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Unit tests</w:t>
            </w:r>
          </w:p>
        </w:tc>
        <w:tc>
          <w:tcPr>
            <w:tcW w:type="dxa" w:w="275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69 </w:t>
            </w: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项网站测试通过，sna.js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 12 </w:t>
            </w: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项通过，jENA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 24 </w:t>
            </w: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项通过</w:t>
            </w:r>
          </w:p>
        </w:tc>
        <w:tc>
          <w:tcPr>
            <w:tcW w:type="dxa" w:w="270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增加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 edge cases </w:t>
            </w: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和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 large fixtures</w:t>
            </w:r>
          </w:p>
        </w:tc>
        <w:tc>
          <w:tcPr>
            <w:tcW w:type="dxa" w:w="221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核心模型无回归</w:t>
            </w:r>
          </w:p>
        </w:tc>
      </w:tr>
      <w:tr>
        <w:tc>
          <w:tcPr>
            <w:tcW w:type="dxa" w:w="170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Build tests</w:t>
            </w:r>
          </w:p>
        </w:tc>
        <w:tc>
          <w:tcPr>
            <w:tcW w:type="dxa" w:w="275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Next build </w:t>
            </w: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成功</w:t>
            </w:r>
          </w:p>
        </w:tc>
        <w:tc>
          <w:tcPr>
            <w:tcW w:type="dxa" w:w="270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进入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 CI </w:t>
            </w: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和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 preview deploy</w:t>
            </w:r>
          </w:p>
        </w:tc>
        <w:tc>
          <w:tcPr>
            <w:tcW w:type="dxa" w:w="221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每个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 PR </w:t>
            </w: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自动验证</w:t>
            </w:r>
          </w:p>
        </w:tc>
      </w:tr>
      <w:tr>
        <w:tc>
          <w:tcPr>
            <w:tcW w:type="dxa" w:w="170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Lint/type checks</w:t>
            </w:r>
          </w:p>
        </w:tc>
        <w:tc>
          <w:tcPr>
            <w:tcW w:type="dxa" w:w="275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Type check </w:t>
            </w: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在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 build </w:t>
            </w: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中执行，</w:t>
            </w:r>
            <w:r>
              <w:rPr>
                <w:rStyle w:val="VerbatimChar"/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npm run lint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无警告通过</w:t>
            </w:r>
          </w:p>
        </w:tc>
        <w:tc>
          <w:tcPr>
            <w:tcW w:type="dxa" w:w="270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纳入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 CI</w:t>
            </w:r>
          </w:p>
        </w:tc>
        <w:tc>
          <w:tcPr>
            <w:tcW w:type="dxa" w:w="221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每个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 PR </w:t>
            </w: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自动执行</w:t>
            </w:r>
          </w:p>
        </w:tc>
      </w:tr>
      <w:tr>
        <w:tc>
          <w:tcPr>
            <w:tcW w:type="dxa" w:w="170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ENA benchmark</w:t>
            </w:r>
          </w:p>
        </w:tc>
        <w:tc>
          <w:tcPr>
            <w:tcW w:type="dxa" w:w="275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toy </w:t>
            </w: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 research-shaped rENA goldens </w:t>
            </w: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已通过</w:t>
            </w:r>
          </w:p>
        </w:tc>
        <w:tc>
          <w:tcPr>
            <w:tcW w:type="dxa" w:w="270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扩展公开标准数据和参数组合</w:t>
            </w:r>
          </w:p>
        </w:tc>
        <w:tc>
          <w:tcPr>
            <w:tcW w:type="dxa" w:w="221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数值差异在阈值内并写入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 release notes</w:t>
            </w:r>
          </w:p>
        </w:tc>
      </w:tr>
      <w:tr>
        <w:tc>
          <w:tcPr>
            <w:tcW w:type="dxa" w:w="170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SNA benchmark</w:t>
            </w:r>
          </w:p>
        </w:tc>
        <w:tc>
          <w:tcPr>
            <w:tcW w:type="dxa" w:w="275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starter tests </w:t>
            </w: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可用</w:t>
            </w:r>
          </w:p>
        </w:tc>
        <w:tc>
          <w:tcPr>
            <w:tcW w:type="dxa" w:w="270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R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sna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fixture</w:t>
            </w:r>
          </w:p>
        </w:tc>
        <w:tc>
          <w:tcPr>
            <w:tcW w:type="dxa" w:w="221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指标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 parity </w:t>
            </w: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或差异记录</w:t>
            </w:r>
          </w:p>
        </w:tc>
      </w:tr>
      <w:tr>
        <w:tc>
          <w:tcPr>
            <w:tcW w:type="dxa" w:w="170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UX tests</w:t>
            </w:r>
          </w:p>
        </w:tc>
        <w:tc>
          <w:tcPr>
            <w:tcW w:type="dxa" w:w="275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有历史截图</w:t>
            </w:r>
          </w:p>
        </w:tc>
        <w:tc>
          <w:tcPr>
            <w:tcW w:type="dxa" w:w="270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Playwright flows</w:t>
            </w:r>
          </w:p>
        </w:tc>
        <w:tc>
          <w:tcPr>
            <w:tcW w:type="dxa" w:w="221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上传、运行、导出、移动端可用</w:t>
            </w:r>
          </w:p>
        </w:tc>
      </w:tr>
      <w:tr>
        <w:tc>
          <w:tcPr>
            <w:tcW w:type="dxa" w:w="1700"/>
            <w:tcBorders>
              <w:top w:val="nil" w:sz="0" w:space="0" w:color="000000"/>
              <w:bottom w:val="single" w:sz="8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DOCX QA</w:t>
            </w:r>
          </w:p>
        </w:tc>
        <w:tc>
          <w:tcPr>
            <w:tcW w:type="dxa" w:w="2750"/>
            <w:tcBorders>
              <w:top w:val="nil" w:sz="0" w:space="0" w:color="000000"/>
              <w:bottom w:val="single" w:sz="8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可用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 render workflow</w:t>
            </w:r>
          </w:p>
        </w:tc>
        <w:tc>
          <w:tcPr>
            <w:tcW w:type="dxa" w:w="2700"/>
            <w:tcBorders>
              <w:top w:val="nil" w:sz="0" w:space="0" w:color="000000"/>
              <w:bottom w:val="single" w:sz="8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报告生成后渲染检查</w:t>
            </w:r>
          </w:p>
        </w:tc>
        <w:tc>
          <w:tcPr>
            <w:tcW w:type="dxa" w:w="2210"/>
            <w:tcBorders>
              <w:top w:val="nil" w:sz="0" w:space="0" w:color="000000"/>
              <w:bottom w:val="single" w:sz="8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页面无明显溢出或空白</w:t>
            </w:r>
          </w:p>
        </w:tc>
      </w:tr>
    </w:tbl>
    <w:p>
      <w:pPr>
        <w:pStyle w:val="BodyText"/>
        <w:jc w:val="left"/>
        <w:ind/>
        <w:spacing w:before="0" w:after="0" w:line="480" w:lineRule="auto"/>
      </w:pPr>
      <w:r>
        <w:rPr>
          <w:i/>
          <w:iCs/>
          <w:rFonts w:ascii="Times New Roman" w:hAnsi="Times New Roman" w:eastAsia="Times New Roman" w:cs="Times New Roman"/>
          <w:sz w:val="24"/>
          <w:szCs w:val="24"/>
          <w:color w:val="000000"/>
        </w:rPr>
        <w:t xml:space="preserve">Note.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Benchmark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结果应写入报告和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release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notes，而不是只留在开发日志中。</w:t>
      </w:r>
    </w:p>
    <w:bookmarkEnd w:id="32"/>
    <w:bookmarkStart w:id="36" w:name="部署与运维计划"/>
    <w:p>
      <w:pPr>
        <w:pStyle w:val="Heading2"/>
        <w:jc w:val="center"/>
        <w:ind/>
        <w:spacing w:before="0" w:after="0" w:line="480" w:lineRule="auto"/>
        <w:keepNext/>
      </w:pPr>
      <w:r>
        <w:rPr>
          <w:rFonts w:hint="eastAsia" w:ascii="Times New Roman" w:hAnsi="Times New Roman" w:eastAsia="Times New Roman" w:cs="Times New Roman"/>
          <w:sz w:val="24"/>
          <w:szCs w:val="24"/>
          <w:color w:val="000000"/>
          <w:b/>
          <w:bCs/>
        </w:rPr>
        <w:t xml:space="preserve">部署与运维计划</w:t>
      </w:r>
    </w:p>
    <w:p>
      <w:pPr>
        <w:pStyle w:val="FirstParagraph"/>
        <w:jc w:val="left"/>
        <w:ind w:firstLine="720"/>
        <w:spacing w:before="0" w:after="0" w:line="480" w:lineRule="auto"/>
      </w:pP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部署计划要从当前事实出发：本地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Next build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成功，但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www.sena.hk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公开访问异常。第一阶段应确认域名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DNS、Vercel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或其他托管平台配置、SSL、origin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health、edge routing、environment variables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和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4"/>
          <w:szCs w:val="24"/>
          <w:color w:val="000000"/>
        </w:rPr>
        <w:t xml:space="preserve">/api/ena/run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的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runtime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行为。由于当前网站可以静态生成大部分页面，最简部署可以先使用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Vercel preview + production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domain；但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4"/>
          <w:szCs w:val="24"/>
          <w:color w:val="000000"/>
        </w:rPr>
        <w:t xml:space="preserve">/api/ena/run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是动态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API，需要确认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Node runtime、bundle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size、本地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4"/>
          <w:szCs w:val="24"/>
          <w:color w:val="000000"/>
        </w:rPr>
        <w:t xml:space="preserve">jena-js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file dependency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和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outputFileTracing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设置在目标平台的行为。</w:t>
      </w:r>
    </w:p>
    <w:p>
      <w:pPr>
        <w:pStyle w:val="BodyText"/>
        <w:jc w:val="left"/>
        <w:ind w:firstLine="720"/>
        <w:spacing w:before="0" w:after="0" w:line="480" w:lineRule="auto"/>
      </w:pP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运维上建议建立四个基本指标：availability、build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success、client errors、analysis runtime。availability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通过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uptime check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覆盖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4"/>
          <w:szCs w:val="24"/>
          <w:color w:val="000000"/>
        </w:rPr>
        <w:t xml:space="preserve">/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  <w:sz w:val="24"/>
          <w:szCs w:val="24"/>
          <w:color w:val="000000"/>
        </w:rPr>
        <w:t xml:space="preserve">/workspace/ena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  <w:sz w:val="24"/>
          <w:szCs w:val="24"/>
          <w:color w:val="000000"/>
        </w:rPr>
        <w:t xml:space="preserve">/workspace/sena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和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4"/>
          <w:szCs w:val="24"/>
          <w:color w:val="000000"/>
        </w:rPr>
        <w:t xml:space="preserve">/api/ena/run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smoke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request；build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success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通过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CI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和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deploy hooks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记录；client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errors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可先用轻量日志或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Vercel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analytics/Sentry；analysis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runtime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则记录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ENA/SENA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运行耗时、行数、code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数、窗口数和失败原因。当前没有后端存储时，至少应把错误边界和用户可见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warnings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做清楚。</w:t>
      </w:r>
    </w:p>
    <w:p>
      <w:pPr>
        <w:pStyle w:val="BodyText"/>
        <w:jc w:val="left"/>
        <w:ind w:firstLine="720"/>
        <w:spacing w:before="0" w:after="0" w:line="480" w:lineRule="auto"/>
      </w:pP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进入项目平台阶段后，需要持久化服务。推荐从简单结构开始：Postgres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或等价关系型数据库存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projects、users、roles、uploads、codebooks、analyses、reports、audit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events；对象存储保存原始文件、导出图、DOCX/PDF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和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snapshots；queue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处理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benchmark、report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rendering、大型分析和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AI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coding。不要过早引入复杂微服务，但要把隐私、权限、审计和保留策略作为数据库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schema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的一部分。</w:t>
      </w:r>
    </w:p>
    <w:p>
      <w:pPr>
        <w:pStyle w:val="BodyText"/>
        <w:jc w:val="left"/>
        <w:ind/>
        <w:spacing w:before="0" w:after="0" w:line="480" w:lineRule="auto"/>
        <w:keepNext/>
      </w:pP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 xml:space="preserve">Figure 5</w:t>
      </w:r>
    </w:p>
    <w:p>
      <w:pPr>
        <w:pStyle w:val="BodyText"/>
        <w:jc w:val="left"/>
        <w:ind/>
        <w:spacing w:before="0" w:after="0" w:line="480" w:lineRule="auto"/>
        <w:keepNext/>
      </w:pPr>
      <w:r>
        <w:rPr>
          <w:i/>
          <w:iCs/>
          <w:rFonts w:ascii="Times New Roman" w:hAnsi="Times New Roman" w:eastAsia="Times New Roman" w:cs="Times New Roman"/>
          <w:sz w:val="24"/>
          <w:szCs w:val="24"/>
          <w:color w:val="000000"/>
        </w:rPr>
        <w:t xml:space="preserve">Target architecture after the next two releases</w:t>
      </w:r>
    </w:p>
    <w:p>
      <w:pPr>
        <w:pStyle w:val="BodyText"/>
        <w:jc w:val="center"/>
        <w:ind/>
        <w:spacing w:before="0" w:after="0" w:line="48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drawing>
          <ns1:inline>
            <ns1:extent cx="5334000" cy="3012141"/>
            <ns1:effectExtent b="0" l="0" r="0" t="0"/>
            <ns1:docPr descr="" title="" id="34" name="Picture"/>
            <ns2:graphic>
              <ns2:graphicData uri="http://schemas.openxmlformats.org/drawingml/2006/picture">
                <ns3:pic>
                  <ns3:nvPicPr>
                    <ns3:cNvPr descr="figure_5_target_architecture.png" id="35" name="Picture"/>
                    <ns3:cNvPicPr>
                      <ns2:picLocks noChangeArrowheads="1" noChangeAspect="1"/>
                    </ns3:cNvPicPr>
                  </ns3:nvPicPr>
                  <ns3:blipFill>
                    <ns2:blip r:embed="rId33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334000" cy="3012141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p>
      <w:pPr>
        <w:pStyle w:val="BodyText"/>
        <w:jc w:val="left"/>
        <w:ind/>
        <w:spacing w:before="0" w:after="0" w:line="480" w:lineRule="auto"/>
      </w:pPr>
      <w:r>
        <w:rPr>
          <w:i/>
          <w:iCs/>
          <w:rFonts w:ascii="Times New Roman" w:hAnsi="Times New Roman" w:eastAsia="Times New Roman" w:cs="Times New Roman"/>
          <w:sz w:val="24"/>
          <w:szCs w:val="24"/>
          <w:color w:val="000000"/>
        </w:rPr>
        <w:t xml:space="preserve">Note.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The diagram separates client experience, analysis services, governance services, persistence, and delivery.</w:t>
      </w:r>
    </w:p>
    <w:bookmarkEnd w:id="36"/>
    <w:bookmarkStart w:id="37" w:name="数据隐私伦理与安全"/>
    <w:p>
      <w:pPr>
        <w:pStyle w:val="Heading2"/>
        <w:jc w:val="center"/>
        <w:ind/>
        <w:spacing w:before="0" w:after="0" w:line="480" w:lineRule="auto"/>
        <w:keepNext/>
      </w:pPr>
      <w:r>
        <w:rPr>
          <w:rFonts w:hint="eastAsia" w:ascii="Times New Roman" w:hAnsi="Times New Roman" w:eastAsia="Times New Roman" w:cs="Times New Roman"/>
          <w:sz w:val="24"/>
          <w:szCs w:val="24"/>
          <w:color w:val="000000"/>
          <w:b/>
          <w:bCs/>
        </w:rPr>
        <w:t xml:space="preserve">数据隐私、伦理与安全</w:t>
      </w:r>
    </w:p>
    <w:p>
      <w:pPr>
        <w:pStyle w:val="FirstParagraph"/>
        <w:jc w:val="left"/>
        <w:ind w:firstLine="720"/>
        <w:spacing w:before="0" w:after="0" w:line="48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SENA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的数据通常包含学习者、教师或团队成员的对话、互动关系、角色、表现和解释性标签。即使系统不直接存储成绩，centrality、bridge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score、concept contribution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和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evidence snippets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也可能构成敏感画像。因此隐私和伦理不是后期合规包装，而是产品架构的一部分。</w:t>
      </w:r>
    </w:p>
    <w:p>
      <w:pPr>
        <w:pStyle w:val="BodyText"/>
        <w:jc w:val="left"/>
        <w:ind w:firstLine="720"/>
        <w:spacing w:before="0" w:after="0" w:line="480" w:lineRule="auto"/>
      </w:pP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第一项原则是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purpose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limitation。每个项目必须记录研究或教学改进目的，避免把协作分析滑向个体监控。第二项原则是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data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minimization。导入前应允许用户删除不必要字段，导入后应以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pseudonymous IDs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展示，原始身份映射单独保管。第三项原则是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consent and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governance。项目应记录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IRB/consent、数据来源、保留期限、可分享范围和导出限制。第四项原则是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human review。AI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只能建议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coding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或解释，不能自动成为研究结论；报告中必须标记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AI-generated draft、reviewer、reviewedAt、limitations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和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next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actions。第五项原则是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auditability。数据上传、映射、参数变更、报告导出、分享和删除都要有审计事件。</w:t>
      </w:r>
    </w:p>
    <w:p>
      <w:pPr>
        <w:pStyle w:val="BodyText"/>
        <w:jc w:val="left"/>
        <w:ind w:firstLine="720"/>
        <w:spacing w:before="0" w:after="0" w:line="480" w:lineRule="auto"/>
      </w:pP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安全路线应分阶段实现。POC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阶段先写清楚本地演示数据与真实数据使用警告，不把敏感数据上传到没有权限控制的环境。Pilot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阶段实现登录、项目级权限、私有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uploads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和导出提醒。机构阶段实现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RBAC、audit log、encryption at rest、retention/deletion、DPA/IRB support、access review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和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incident response。AI coding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或外部模型调用上线前，必须先定义哪些文本可发送、如何脱敏、如何记录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prompt/model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version、如何处理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provider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数据保留。</w:t>
      </w:r>
    </w:p>
    <w:p>
      <w:pPr>
        <w:pStyle w:val="BodyText"/>
        <w:jc w:val="left"/>
        <w:ind/>
        <w:spacing w:before="0" w:after="0" w:line="480" w:lineRule="auto"/>
        <w:keepNext/>
      </w:pP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 xml:space="preserve">Table 8</w:t>
      </w:r>
    </w:p>
    <w:p>
      <w:pPr>
        <w:pStyle w:val="BodyText"/>
        <w:jc w:val="left"/>
        <w:ind/>
        <w:spacing w:before="0" w:after="0" w:line="480" w:lineRule="auto"/>
        <w:keepNext/>
      </w:pPr>
      <w:r>
        <w:rPr>
          <w:i/>
          <w:iCs/>
          <w:rFonts w:ascii="Times New Roman" w:hAnsi="Times New Roman" w:eastAsia="Times New Roman" w:cs="Times New Roman"/>
          <w:sz w:val="24"/>
          <w:szCs w:val="24"/>
          <w:color w:val="000000"/>
        </w:rPr>
        <w:t xml:space="preserve">Privacy, ethics, and security controls</w:t>
      </w:r>
    </w:p>
    <w:tbl>
      <w:tblPr>
        <w:tblStyle w:val="Table"/>
        <w:tblW w:type="dxa" w:w="9360"/>
        <w:tblLayout w:type="fixed"/>
        <w:tblLook w:firstRow="1" w:lastRow="0" w:firstColumn="0" w:lastColumn="0" w:noHBand="0" w:noVBand="0" w:val="0020"/>
        <w:tblBorders>
          <w:top w:val="nil" w:sz="0" w:color="FFFFFF"/>
          <w:bottom w:val="nil" w:sz="0" w:color="FFFFFF"/>
          <w:left w:val="nil" w:sz="0" w:color="FFFFFF"/>
          <w:right w:val="nil" w:sz="0" w:color="FFFFFF"/>
          <w:insideH w:val="nil" w:sz="0" w:color="FFFFFF"/>
          <w:insideV w:val="nil" w:sz="0" w:color="FFFFFF"/>
        </w:tblBorders>
        <w:tblCellMar>
          <w:top w:type="dxa" w:w="120"/>
          <w:bottom w:type="dxa" w:w="120"/>
          <w:left w:type="dxa" w:w="140"/>
          <w:right w:type="dxa" w:w="140"/>
        </w:tblCellMar>
      </w:tblPr>
      <w:tblGrid>
        <w:gridCol w:w="2300"/>
        <w:gridCol w:w="2050"/>
        <w:gridCol w:w="2500"/>
        <w:gridCol w:w="2510"/>
      </w:tblGrid>
      <w:tr>
        <w:trPr>
          <w:tblHeader w:val="on"/>
        </w:trPr>
        <w:tc>
          <w:tcPr>
            <w:tcW w:type="dxa" w:w="2300"/>
            <w:tcBorders>
              <w:top w:val="single" w:sz="8" w:space="0" w:color="000000"/>
              <w:bottom w:val="single" w:sz="8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  <w:b/>
              </w:rPr>
              <w:t xml:space="preserve">控制项</w:t>
            </w:r>
          </w:p>
        </w:tc>
        <w:tc>
          <w:tcPr>
            <w:tcW w:type="dxa" w:w="2050"/>
            <w:tcBorders>
              <w:top w:val="single" w:sz="8" w:space="0" w:color="000000"/>
              <w:bottom w:val="single" w:sz="8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  <w:b/>
              </w:rPr>
              <w:t xml:space="preserve">POC</w:t>
            </w:r>
          </w:p>
        </w:tc>
        <w:tc>
          <w:tcPr>
            <w:tcW w:type="dxa" w:w="2500"/>
            <w:tcBorders>
              <w:top w:val="single" w:sz="8" w:space="0" w:color="000000"/>
              <w:bottom w:val="single" w:sz="8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  <w:b/>
              </w:rPr>
              <w:t xml:space="preserve">Pilot</w:t>
            </w:r>
          </w:p>
        </w:tc>
        <w:tc>
          <w:tcPr>
            <w:tcW w:type="dxa" w:w="2510"/>
            <w:tcBorders>
              <w:top w:val="single" w:sz="8" w:space="0" w:color="000000"/>
              <w:bottom w:val="single" w:sz="8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  <w:b/>
              </w:rPr>
              <w:t xml:space="preserve">Institution</w:t>
            </w:r>
          </w:p>
        </w:tc>
      </w:tr>
      <w:tr>
        <w:tc>
          <w:tcPr>
            <w:tcW w:type="dxa" w:w="230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敏感数据提示</w:t>
            </w:r>
          </w:p>
        </w:tc>
        <w:tc>
          <w:tcPr>
            <w:tcW w:type="dxa" w:w="205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必须</w:t>
            </w:r>
          </w:p>
        </w:tc>
        <w:tc>
          <w:tcPr>
            <w:tcW w:type="dxa" w:w="250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必须</w:t>
            </w:r>
          </w:p>
        </w:tc>
        <w:tc>
          <w:tcPr>
            <w:tcW w:type="dxa" w:w="251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必须</w:t>
            </w:r>
          </w:p>
        </w:tc>
      </w:tr>
      <w:tr>
        <w:tc>
          <w:tcPr>
            <w:tcW w:type="dxa" w:w="230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Pseudonymous display</w:t>
            </w:r>
          </w:p>
        </w:tc>
        <w:tc>
          <w:tcPr>
            <w:tcW w:type="dxa" w:w="205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建议</w:t>
            </w:r>
          </w:p>
        </w:tc>
        <w:tc>
          <w:tcPr>
            <w:tcW w:type="dxa" w:w="250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必须</w:t>
            </w:r>
          </w:p>
        </w:tc>
        <w:tc>
          <w:tcPr>
            <w:tcW w:type="dxa" w:w="251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必须</w:t>
            </w:r>
          </w:p>
        </w:tc>
      </w:tr>
      <w:tr>
        <w:tc>
          <w:tcPr>
            <w:tcW w:type="dxa" w:w="230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Auth/session</w:t>
            </w:r>
          </w:p>
        </w:tc>
        <w:tc>
          <w:tcPr>
            <w:tcW w:type="dxa" w:w="205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可后置</w:t>
            </w:r>
          </w:p>
        </w:tc>
        <w:tc>
          <w:tcPr>
            <w:tcW w:type="dxa" w:w="250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必须</w:t>
            </w:r>
          </w:p>
        </w:tc>
        <w:tc>
          <w:tcPr>
            <w:tcW w:type="dxa" w:w="251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必须</w:t>
            </w:r>
          </w:p>
        </w:tc>
      </w:tr>
      <w:tr>
        <w:tc>
          <w:tcPr>
            <w:tcW w:type="dxa" w:w="230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Project roles</w:t>
            </w:r>
          </w:p>
        </w:tc>
        <w:tc>
          <w:tcPr>
            <w:tcW w:type="dxa" w:w="205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可后置</w:t>
            </w:r>
          </w:p>
        </w:tc>
        <w:tc>
          <w:tcPr>
            <w:tcW w:type="dxa" w:w="250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基础角色</w:t>
            </w:r>
          </w:p>
        </w:tc>
        <w:tc>
          <w:tcPr>
            <w:tcW w:type="dxa" w:w="251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完整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 RBAC</w:t>
            </w:r>
          </w:p>
        </w:tc>
      </w:tr>
      <w:tr>
        <w:tc>
          <w:tcPr>
            <w:tcW w:type="dxa" w:w="230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Audit log</w:t>
            </w:r>
          </w:p>
        </w:tc>
        <w:tc>
          <w:tcPr>
            <w:tcW w:type="dxa" w:w="205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设计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 schema</w:t>
            </w:r>
          </w:p>
        </w:tc>
        <w:tc>
          <w:tcPr>
            <w:tcW w:type="dxa" w:w="250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记录关键事件</w:t>
            </w:r>
          </w:p>
        </w:tc>
        <w:tc>
          <w:tcPr>
            <w:tcW w:type="dxa" w:w="251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可导出审计</w:t>
            </w:r>
          </w:p>
        </w:tc>
      </w:tr>
      <w:tr>
        <w:tc>
          <w:tcPr>
            <w:tcW w:type="dxa" w:w="230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Anonymization</w:t>
            </w:r>
          </w:p>
        </w:tc>
        <w:tc>
          <w:tcPr>
            <w:tcW w:type="dxa" w:w="205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手动模板</w:t>
            </w:r>
          </w:p>
        </w:tc>
        <w:tc>
          <w:tcPr>
            <w:tcW w:type="dxa" w:w="250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导入流程</w:t>
            </w:r>
          </w:p>
        </w:tc>
        <w:tc>
          <w:tcPr>
            <w:tcW w:type="dxa" w:w="251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管线和复核</w:t>
            </w:r>
          </w:p>
        </w:tc>
      </w:tr>
      <w:tr>
        <w:tc>
          <w:tcPr>
            <w:tcW w:type="dxa" w:w="230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AI transparency</w:t>
            </w:r>
          </w:p>
        </w:tc>
        <w:tc>
          <w:tcPr>
            <w:tcW w:type="dxa" w:w="205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报告声明</w:t>
            </w:r>
          </w:p>
        </w:tc>
        <w:tc>
          <w:tcPr>
            <w:tcW w:type="dxa" w:w="250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prompt/version/confidence</w:t>
            </w:r>
          </w:p>
        </w:tc>
        <w:tc>
          <w:tcPr>
            <w:tcW w:type="dxa" w:w="251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policy </w:t>
            </w: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和审计</w:t>
            </w:r>
          </w:p>
        </w:tc>
      </w:tr>
      <w:tr>
        <w:tc>
          <w:tcPr>
            <w:tcW w:type="dxa" w:w="2300"/>
            <w:tcBorders>
              <w:top w:val="nil" w:sz="0" w:space="0" w:color="000000"/>
              <w:bottom w:val="single" w:sz="8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Retention/deletion</w:t>
            </w:r>
          </w:p>
        </w:tc>
        <w:tc>
          <w:tcPr>
            <w:tcW w:type="dxa" w:w="2050"/>
            <w:tcBorders>
              <w:top w:val="nil" w:sz="0" w:space="0" w:color="000000"/>
              <w:bottom w:val="single" w:sz="8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文档说明</w:t>
            </w:r>
          </w:p>
        </w:tc>
        <w:tc>
          <w:tcPr>
            <w:tcW w:type="dxa" w:w="2500"/>
            <w:tcBorders>
              <w:top w:val="nil" w:sz="0" w:space="0" w:color="000000"/>
              <w:bottom w:val="single" w:sz="8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项目级删除</w:t>
            </w:r>
          </w:p>
        </w:tc>
        <w:tc>
          <w:tcPr>
            <w:tcW w:type="dxa" w:w="2510"/>
            <w:tcBorders>
              <w:top w:val="nil" w:sz="0" w:space="0" w:color="000000"/>
              <w:bottom w:val="single" w:sz="8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合规保留策略</w:t>
            </w:r>
          </w:p>
        </w:tc>
      </w:tr>
    </w:tbl>
    <w:p>
      <w:pPr>
        <w:pStyle w:val="BodyText"/>
        <w:jc w:val="left"/>
        <w:ind/>
        <w:spacing w:before="0" w:after="0" w:line="480" w:lineRule="auto"/>
      </w:pPr>
      <w:r>
        <w:rPr>
          <w:i/>
          <w:iCs/>
          <w:rFonts w:ascii="Times New Roman" w:hAnsi="Times New Roman" w:eastAsia="Times New Roman" w:cs="Times New Roman"/>
          <w:sz w:val="24"/>
          <w:szCs w:val="24"/>
          <w:color w:val="000000"/>
        </w:rPr>
        <w:t xml:space="preserve">Note.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对教育数据而言，centrality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和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contribution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指标不应被设计成自动绩效评分。</w:t>
      </w:r>
    </w:p>
    <w:bookmarkEnd w:id="37"/>
    <w:bookmarkStart w:id="38" w:name="可访问性与国际化"/>
    <w:p>
      <w:pPr>
        <w:pStyle w:val="Heading2"/>
        <w:jc w:val="center"/>
        <w:ind/>
        <w:spacing w:before="0" w:after="0" w:line="480" w:lineRule="auto"/>
        <w:keepNext/>
      </w:pPr>
      <w:r>
        <w:rPr>
          <w:rFonts w:hint="eastAsia" w:ascii="Times New Roman" w:hAnsi="Times New Roman" w:eastAsia="Times New Roman" w:cs="Times New Roman"/>
          <w:sz w:val="24"/>
          <w:szCs w:val="24"/>
          <w:color w:val="000000"/>
          <w:b/>
          <w:bCs/>
        </w:rPr>
        <w:t xml:space="preserve">可访问性与国际化</w:t>
      </w:r>
    </w:p>
    <w:p>
      <w:pPr>
        <w:pStyle w:val="FirstParagraph"/>
        <w:jc w:val="left"/>
        <w:ind w:firstLine="720"/>
        <w:spacing w:before="0" w:after="0" w:line="480" w:lineRule="auto"/>
      </w:pP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可访问性目标应至少达到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WCAG 2.2 AA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的实用标准。SENA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的难点在于图表、表格和复杂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controls。建议为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Fusion Canvas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提供三种替代入口：一是节点和边列表，按权重、层和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evidence count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排序；二是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inspector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的键盘选择和搜索；三是报告导出中的文本化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summary。SVG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图应有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role、aria-label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和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title，但这不足以让非视觉用户理解全部结构，需要可读列表。</w:t>
      </w:r>
    </w:p>
    <w:p>
      <w:pPr>
        <w:pStyle w:val="BodyText"/>
        <w:jc w:val="left"/>
        <w:ind w:firstLine="720"/>
        <w:spacing w:before="0" w:after="0" w:line="480" w:lineRule="auto"/>
      </w:pP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当前色彩系统以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cyan/violet/magenta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为核心，视觉辨识度高，但需要检查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light/dark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下的对比度，尤其是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amber warning、muted text、card border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和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small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labels。动画方面已有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4"/>
          <w:szCs w:val="24"/>
          <w:color w:val="000000"/>
        </w:rPr>
        <w:t xml:space="preserve">prefers-reduced-motion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规则，应继续确保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Framer Motion、grid animation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和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temporal playback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在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reduced motion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下不会影响使用。移动端方面，workspace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的多列表格和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controls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需要专门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QA，防止按钮、select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和图表压缩到难以操作。</w:t>
      </w:r>
    </w:p>
    <w:p>
      <w:pPr>
        <w:pStyle w:val="BodyText"/>
        <w:jc w:val="left"/>
        <w:ind w:firstLine="720"/>
        <w:spacing w:before="0" w:after="0" w:line="480" w:lineRule="auto"/>
      </w:pP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国际化应从“语言切换”升级为“研究报告本地化”。目前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LanguageProvider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支持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ENG/繁/简，但工作区里许多按钮、labels、警告、报告字段仍是英文。短期目标是完整覆盖公共页与两个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workspace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的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UI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文案；中期目标是支持中文/英文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report templates、APA caption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文案、数据模板说明和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ethics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statements；长期目标是根据项目语言设置自动生成报告，并允许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codebook label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保留原始语言。</w:t>
      </w:r>
    </w:p>
    <w:bookmarkEnd w:id="38"/>
    <w:bookmarkStart w:id="39" w:name="团队分工与里程碑"/>
    <w:p>
      <w:pPr>
        <w:pStyle w:val="Heading2"/>
        <w:jc w:val="center"/>
        <w:ind/>
        <w:spacing w:before="0" w:after="0" w:line="480" w:lineRule="auto"/>
        <w:keepNext/>
      </w:pPr>
      <w:r>
        <w:rPr>
          <w:rFonts w:hint="eastAsia" w:ascii="Times New Roman" w:hAnsi="Times New Roman" w:eastAsia="Times New Roman" w:cs="Times New Roman"/>
          <w:sz w:val="24"/>
          <w:szCs w:val="24"/>
          <w:color w:val="000000"/>
          <w:b/>
          <w:bCs/>
        </w:rPr>
        <w:t xml:space="preserve">团队分工与里程碑</w:t>
      </w:r>
    </w:p>
    <w:p>
      <w:pPr>
        <w:pStyle w:val="FirstParagraph"/>
        <w:jc w:val="left"/>
        <w:ind w:firstLine="720"/>
        <w:spacing w:before="0" w:after="0" w:line="480" w:lineRule="auto"/>
      </w:pP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一个现实的小团队配置可以是：1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名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product/research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lead，负责方法边界、用户试点、报告质量和路线优先级；1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名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frontend/full-stack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engineer，负责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Next.js、workspaces、UX、accessibility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和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report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UI；1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名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analytics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engineer，负责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jENA、sna.js、SENA model、benchmark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和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large-data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performance；1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名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backend/platform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engineer，负责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auth、persistence、RBAC、audit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和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deployment；0.5-1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名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research assistant/content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specialist，负责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codebook templates、sample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datasets、文档、APA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报告和案例。若资源有限，backend/platform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可以在前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1-2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个月由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full-stack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兼任，但进入机构试点前必须补齐。</w:t>
      </w:r>
    </w:p>
    <w:p>
      <w:pPr>
        <w:pStyle w:val="BodyText"/>
        <w:jc w:val="left"/>
        <w:ind w:firstLine="720"/>
        <w:spacing w:before="0" w:after="0" w:line="480" w:lineRule="auto"/>
      </w:pP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里程碑应绑定验证证据。M1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是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public demo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health：线上可访问、sample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可运行、测试/build/lint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进入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CI。M2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是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research pilot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readiness：数据模板、报告、benchmark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notes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和两个案例可交付。M3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是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saved project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beta：团队可以登录、上传、保存、复核和导出。M4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是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institution pilot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readiness：隐私、安全、审计、监控和访问控制通过内部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review。M5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是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scale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decision：根据真实试点反馈决定是深化教育研究平台、扩展机构部署，还是探索更广泛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SaaS。</w:t>
      </w:r>
    </w:p>
    <w:p>
      <w:pPr>
        <w:pStyle w:val="BodyText"/>
        <w:jc w:val="left"/>
        <w:ind/>
        <w:spacing w:before="0" w:after="0" w:line="480" w:lineRule="auto"/>
        <w:keepNext/>
      </w:pP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 xml:space="preserve">Table 9</w:t>
      </w:r>
    </w:p>
    <w:p>
      <w:pPr>
        <w:pStyle w:val="BodyText"/>
        <w:jc w:val="left"/>
        <w:ind/>
        <w:spacing w:before="0" w:after="0" w:line="480" w:lineRule="auto"/>
        <w:keepNext/>
      </w:pPr>
      <w:r>
        <w:rPr>
          <w:i/>
          <w:iCs/>
          <w:rFonts w:ascii="Times New Roman" w:hAnsi="Times New Roman" w:eastAsia="Times New Roman" w:cs="Times New Roman"/>
          <w:sz w:val="24"/>
          <w:szCs w:val="24"/>
          <w:color w:val="000000"/>
        </w:rPr>
        <w:t xml:space="preserve">Team roles and milestone ownership</w:t>
      </w:r>
    </w:p>
    <w:tbl>
      <w:tblPr>
        <w:tblStyle w:val="Table"/>
        <w:tblW w:type="dxa" w:w="9360"/>
        <w:tblLayout w:type="fixed"/>
        <w:tblLook w:firstRow="1" w:lastRow="0" w:firstColumn="0" w:lastColumn="0" w:noHBand="0" w:noVBand="0" w:val="0020"/>
        <w:tblBorders>
          <w:top w:val="nil" w:sz="0" w:color="FFFFFF"/>
          <w:bottom w:val="nil" w:sz="0" w:color="FFFFFF"/>
          <w:left w:val="nil" w:sz="0" w:color="FFFFFF"/>
          <w:right w:val="nil" w:sz="0" w:color="FFFFFF"/>
          <w:insideH w:val="nil" w:sz="0" w:color="FFFFFF"/>
          <w:insideV w:val="nil" w:sz="0" w:color="FFFFFF"/>
        </w:tblBorders>
        <w:tblCellMar>
          <w:top w:type="dxa" w:w="120"/>
          <w:bottom w:type="dxa" w:w="120"/>
          <w:left w:type="dxa" w:w="140"/>
          <w:right w:type="dxa" w:w="140"/>
        </w:tblCellMar>
      </w:tblPr>
      <w:tblGrid>
        <w:gridCol w:w="2300"/>
        <w:gridCol w:w="4300"/>
        <w:gridCol w:w="2760"/>
      </w:tblGrid>
      <w:tr>
        <w:trPr>
          <w:tblHeader w:val="on"/>
        </w:trPr>
        <w:tc>
          <w:tcPr>
            <w:tcW w:type="dxa" w:w="2300"/>
            <w:tcBorders>
              <w:top w:val="single" w:sz="8" w:space="0" w:color="000000"/>
              <w:bottom w:val="single" w:sz="8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  <w:b/>
              </w:rPr>
              <w:t xml:space="preserve">角色</w:t>
            </w:r>
          </w:p>
        </w:tc>
        <w:tc>
          <w:tcPr>
            <w:tcW w:type="dxa" w:w="4300"/>
            <w:tcBorders>
              <w:top w:val="single" w:sz="8" w:space="0" w:color="000000"/>
              <w:bottom w:val="single" w:sz="8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  <w:b/>
              </w:rPr>
              <w:t xml:space="preserve">主要职责</w:t>
            </w:r>
          </w:p>
        </w:tc>
        <w:tc>
          <w:tcPr>
            <w:tcW w:type="dxa" w:w="2760"/>
            <w:tcBorders>
              <w:top w:val="single" w:sz="8" w:space="0" w:color="000000"/>
              <w:bottom w:val="single" w:sz="8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  <w:b/>
              </w:rPr>
              <w:t xml:space="preserve">近期里程碑</w:t>
            </w:r>
          </w:p>
        </w:tc>
      </w:tr>
      <w:tr>
        <w:tc>
          <w:tcPr>
            <w:tcW w:type="dxa" w:w="230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Product / research lead</w:t>
            </w:r>
          </w:p>
        </w:tc>
        <w:tc>
          <w:tcPr>
            <w:tcW w:type="dxa" w:w="430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方法边界、用户试点、优先级、报告质量</w:t>
            </w:r>
          </w:p>
        </w:tc>
        <w:tc>
          <w:tcPr>
            <w:tcW w:type="dxa" w:w="276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M1-M5 </w:t>
            </w: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全程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 owner</w:t>
            </w:r>
          </w:p>
        </w:tc>
      </w:tr>
      <w:tr>
        <w:tc>
          <w:tcPr>
            <w:tcW w:type="dxa" w:w="230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Frontend / full-stack engineer</w:t>
            </w:r>
          </w:p>
        </w:tc>
        <w:tc>
          <w:tcPr>
            <w:tcW w:type="dxa" w:w="430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Next.js、工作区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 UX、accessibility、report UI</w:t>
            </w:r>
          </w:p>
        </w:tc>
        <w:tc>
          <w:tcPr>
            <w:tcW w:type="dxa" w:w="276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M1、M2、M3</w:t>
            </w:r>
          </w:p>
        </w:tc>
      </w:tr>
      <w:tr>
        <w:tc>
          <w:tcPr>
            <w:tcW w:type="dxa" w:w="230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Analytics engineer</w:t>
            </w:r>
          </w:p>
        </w:tc>
        <w:tc>
          <w:tcPr>
            <w:tcW w:type="dxa" w:w="430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jENA、sna.js、SENA model、benchmark</w:t>
            </w:r>
          </w:p>
        </w:tc>
        <w:tc>
          <w:tcPr>
            <w:tcW w:type="dxa" w:w="276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M1、M2、M5</w:t>
            </w:r>
          </w:p>
        </w:tc>
      </w:tr>
      <w:tr>
        <w:tc>
          <w:tcPr>
            <w:tcW w:type="dxa" w:w="230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Backend / platform engineer</w:t>
            </w:r>
          </w:p>
        </w:tc>
        <w:tc>
          <w:tcPr>
            <w:tcW w:type="dxa" w:w="430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Auth、persistence、RBAC、audit、deploy</w:t>
            </w:r>
          </w:p>
        </w:tc>
        <w:tc>
          <w:tcPr>
            <w:tcW w:type="dxa" w:w="276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M3、M4</w:t>
            </w:r>
          </w:p>
        </w:tc>
      </w:tr>
      <w:tr>
        <w:tc>
          <w:tcPr>
            <w:tcW w:type="dxa" w:w="2300"/>
            <w:tcBorders>
              <w:top w:val="nil" w:sz="0" w:space="0" w:color="000000"/>
              <w:bottom w:val="single" w:sz="8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Research assistant</w:t>
            </w:r>
          </w:p>
        </w:tc>
        <w:tc>
          <w:tcPr>
            <w:tcW w:type="dxa" w:w="4300"/>
            <w:tcBorders>
              <w:top w:val="nil" w:sz="0" w:space="0" w:color="000000"/>
              <w:bottom w:val="single" w:sz="8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数据模板、codebook、案例、文档</w:t>
            </w:r>
          </w:p>
        </w:tc>
        <w:tc>
          <w:tcPr>
            <w:tcW w:type="dxa" w:w="2760"/>
            <w:tcBorders>
              <w:top w:val="nil" w:sz="0" w:space="0" w:color="000000"/>
              <w:bottom w:val="single" w:sz="8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M2、M3</w:t>
            </w:r>
          </w:p>
        </w:tc>
      </w:tr>
    </w:tbl>
    <w:p>
      <w:pPr>
        <w:pStyle w:val="BodyText"/>
        <w:jc w:val="left"/>
        <w:ind/>
        <w:spacing w:before="0" w:after="0" w:line="480" w:lineRule="auto"/>
      </w:pPr>
      <w:r>
        <w:rPr>
          <w:i/>
          <w:iCs/>
          <w:rFonts w:ascii="Times New Roman" w:hAnsi="Times New Roman" w:eastAsia="Times New Roman" w:cs="Times New Roman"/>
          <w:sz w:val="24"/>
          <w:szCs w:val="24"/>
          <w:color w:val="000000"/>
        </w:rPr>
        <w:t xml:space="preserve">Note.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小团队可以合并角色，但不应省略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analytics validation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与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privacy/platform ownership。</w:t>
      </w:r>
    </w:p>
    <w:bookmarkEnd w:id="39"/>
    <w:bookmarkStart w:id="40" w:name="风险矩阵"/>
    <w:p>
      <w:pPr>
        <w:pStyle w:val="Heading2"/>
        <w:jc w:val="center"/>
        <w:ind/>
        <w:spacing w:before="0" w:after="0" w:line="480" w:lineRule="auto"/>
        <w:keepNext/>
      </w:pPr>
      <w:r>
        <w:rPr>
          <w:rFonts w:hint="eastAsia" w:ascii="Times New Roman" w:hAnsi="Times New Roman" w:eastAsia="Times New Roman" w:cs="Times New Roman"/>
          <w:sz w:val="24"/>
          <w:szCs w:val="24"/>
          <w:color w:val="000000"/>
          <w:b/>
          <w:bCs/>
        </w:rPr>
        <w:t xml:space="preserve">风险矩阵</w:t>
      </w:r>
    </w:p>
    <w:p>
      <w:pPr>
        <w:pStyle w:val="FirstParagraph"/>
        <w:jc w:val="left"/>
        <w:ind w:firstLine="720"/>
        <w:spacing w:before="0" w:after="0" w:line="480" w:lineRule="auto"/>
      </w:pP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当前最大风险不是模型不可行，而是过早把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POC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当作生产平台。SENA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数学和代码基础已经说明三层异构网络是可实现的；真正的风险在于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deployment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不稳定、benchmark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不充分、用户误读图距离、隐私治理不足、AI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interpretation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被当作自动结论、工程质量检查未进入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CI，以及团队试图同时服务太多应用领域。风险管理应把这些问题写入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roadmap gates。</w:t>
      </w:r>
    </w:p>
    <w:p>
      <w:pPr>
        <w:pStyle w:val="BodyText"/>
        <w:jc w:val="left"/>
        <w:ind/>
        <w:spacing w:before="0" w:after="0" w:line="480" w:lineRule="auto"/>
        <w:keepNext/>
      </w:pP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 xml:space="preserve">Table 10</w:t>
      </w:r>
    </w:p>
    <w:p>
      <w:pPr>
        <w:pStyle w:val="BodyText"/>
        <w:jc w:val="left"/>
        <w:ind/>
        <w:spacing w:before="0" w:after="0" w:line="480" w:lineRule="auto"/>
        <w:keepNext/>
      </w:pPr>
      <w:r>
        <w:rPr>
          <w:i/>
          <w:iCs/>
          <w:rFonts w:ascii="Times New Roman" w:hAnsi="Times New Roman" w:eastAsia="Times New Roman" w:cs="Times New Roman"/>
          <w:sz w:val="24"/>
          <w:szCs w:val="24"/>
          <w:color w:val="000000"/>
        </w:rPr>
        <w:t xml:space="preserve">Risk matrix</w:t>
      </w:r>
    </w:p>
    <w:tbl>
      <w:tblPr>
        <w:tblStyle w:val="Table"/>
        <w:tblW w:type="dxa" w:w="9360"/>
        <w:tblLayout w:type="fixed"/>
        <w:tblLook w:firstRow="1" w:lastRow="0" w:firstColumn="0" w:lastColumn="0" w:noHBand="0" w:noVBand="0" w:val="0020"/>
        <w:tblBorders>
          <w:top w:val="nil" w:sz="0" w:color="FFFFFF"/>
          <w:bottom w:val="nil" w:sz="0" w:color="FFFFFF"/>
          <w:left w:val="nil" w:sz="0" w:color="FFFFFF"/>
          <w:right w:val="nil" w:sz="0" w:color="FFFFFF"/>
          <w:insideH w:val="nil" w:sz="0" w:color="FFFFFF"/>
          <w:insideV w:val="nil" w:sz="0" w:color="FFFFFF"/>
        </w:tblBorders>
        <w:tblCellMar>
          <w:top w:type="dxa" w:w="120"/>
          <w:bottom w:type="dxa" w:w="120"/>
          <w:left w:type="dxa" w:w="140"/>
          <w:right w:type="dxa" w:w="140"/>
        </w:tblCellMar>
      </w:tblPr>
      <w:tblGrid>
        <w:gridCol w:w="3450"/>
        <w:gridCol w:w="1150"/>
        <w:gridCol w:w="1150"/>
        <w:gridCol w:w="3610"/>
      </w:tblGrid>
      <w:tr>
        <w:trPr>
          <w:tblHeader w:val="on"/>
        </w:trPr>
        <w:tc>
          <w:tcPr>
            <w:tcW w:type="dxa" w:w="3450"/>
            <w:tcBorders>
              <w:top w:val="single" w:sz="8" w:space="0" w:color="000000"/>
              <w:bottom w:val="single" w:sz="8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  <w:b/>
              </w:rPr>
              <w:t xml:space="preserve">风险</w:t>
            </w:r>
          </w:p>
        </w:tc>
        <w:tc>
          <w:tcPr>
            <w:tcW w:type="dxa" w:w="1150"/>
            <w:tcBorders>
              <w:top w:val="single" w:sz="8" w:space="0" w:color="000000"/>
              <w:bottom w:val="single" w:sz="8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  <w:b/>
              </w:rPr>
              <w:t xml:space="preserve">概率</w:t>
            </w:r>
          </w:p>
        </w:tc>
        <w:tc>
          <w:tcPr>
            <w:tcW w:type="dxa" w:w="1150"/>
            <w:tcBorders>
              <w:top w:val="single" w:sz="8" w:space="0" w:color="000000"/>
              <w:bottom w:val="single" w:sz="8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  <w:b/>
              </w:rPr>
              <w:t xml:space="preserve">影响</w:t>
            </w:r>
          </w:p>
        </w:tc>
        <w:tc>
          <w:tcPr>
            <w:tcW w:type="dxa" w:w="3610"/>
            <w:tcBorders>
              <w:top w:val="single" w:sz="8" w:space="0" w:color="000000"/>
              <w:bottom w:val="single" w:sz="8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  <w:b/>
              </w:rPr>
              <w:t xml:space="preserve">缓解措施</w:t>
            </w:r>
          </w:p>
        </w:tc>
      </w:tr>
      <w:tr>
        <w:tc>
          <w:tcPr>
            <w:tcW w:type="dxa" w:w="345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www.sena.hk </w:t>
            </w: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线上不可用或不稳定</w:t>
            </w:r>
          </w:p>
        </w:tc>
        <w:tc>
          <w:tcPr>
            <w:tcW w:type="dxa" w:w="115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高</w:t>
            </w:r>
          </w:p>
        </w:tc>
        <w:tc>
          <w:tcPr>
            <w:tcW w:type="dxa" w:w="115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高</w:t>
            </w:r>
          </w:p>
        </w:tc>
        <w:tc>
          <w:tcPr>
            <w:tcW w:type="dxa" w:w="361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立即修复部署、增加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 health </w:t>
            </w: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checks、记录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 release </w:t>
            </w: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状态</w:t>
            </w:r>
          </w:p>
        </w:tc>
      </w:tr>
      <w:tr>
        <w:tc>
          <w:tcPr>
            <w:tcW w:type="dxa" w:w="345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用户误读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 fusion layout </w:t>
            </w: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距离</w:t>
            </w:r>
          </w:p>
        </w:tc>
        <w:tc>
          <w:tcPr>
            <w:tcW w:type="dxa" w:w="115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中</w:t>
            </w:r>
          </w:p>
        </w:tc>
        <w:tc>
          <w:tcPr>
            <w:tcW w:type="dxa" w:w="115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高</w:t>
            </w:r>
          </w:p>
        </w:tc>
        <w:tc>
          <w:tcPr>
            <w:tcW w:type="dxa" w:w="361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保留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guardrails，报告中写明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 layout/embedding </w:t>
            </w: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边界</w:t>
            </w:r>
          </w:p>
        </w:tc>
      </w:tr>
      <w:tr>
        <w:tc>
          <w:tcPr>
            <w:tcW w:type="dxa" w:w="345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jENA/rENA coverage </w:t>
            </w: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过窄或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 sna.js/R parity </w:t>
            </w: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不清</w:t>
            </w:r>
          </w:p>
        </w:tc>
        <w:tc>
          <w:tcPr>
            <w:tcW w:type="dxa" w:w="115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中</w:t>
            </w:r>
          </w:p>
        </w:tc>
        <w:tc>
          <w:tcPr>
            <w:tcW w:type="dxa" w:w="115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高</w:t>
            </w:r>
          </w:p>
        </w:tc>
        <w:tc>
          <w:tcPr>
            <w:tcW w:type="dxa" w:w="361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扩展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goldens、阈值、差异说明和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 benchmark appendix</w:t>
            </w:r>
          </w:p>
        </w:tc>
      </w:tr>
      <w:tr>
        <w:tc>
          <w:tcPr>
            <w:tcW w:type="dxa" w:w="345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敏感教育数据未脱敏</w:t>
            </w:r>
          </w:p>
        </w:tc>
        <w:tc>
          <w:tcPr>
            <w:tcW w:type="dxa" w:w="115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中</w:t>
            </w:r>
          </w:p>
        </w:tc>
        <w:tc>
          <w:tcPr>
            <w:tcW w:type="dxa" w:w="115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高</w:t>
            </w:r>
          </w:p>
        </w:tc>
        <w:tc>
          <w:tcPr>
            <w:tcW w:type="dxa" w:w="361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Pseudonymization、consent </w:t>
            </w: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metadata、导出警告、RBAC</w:t>
            </w:r>
          </w:p>
        </w:tc>
      </w:tr>
      <w:tr>
        <w:tc>
          <w:tcPr>
            <w:tcW w:type="dxa" w:w="345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AI draft </w:t>
            </w: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被当成正式结论</w:t>
            </w:r>
          </w:p>
        </w:tc>
        <w:tc>
          <w:tcPr>
            <w:tcW w:type="dxa" w:w="115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中</w:t>
            </w:r>
          </w:p>
        </w:tc>
        <w:tc>
          <w:tcPr>
            <w:tcW w:type="dxa" w:w="115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高</w:t>
            </w:r>
          </w:p>
        </w:tc>
        <w:tc>
          <w:tcPr>
            <w:tcW w:type="dxa" w:w="361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Human review status、AI-use statement、limitations </w:t>
            </w: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必填</w:t>
            </w:r>
          </w:p>
        </w:tc>
      </w:tr>
      <w:tr>
        <w:tc>
          <w:tcPr>
            <w:tcW w:type="dxa" w:w="345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lint/test/build </w:t>
            </w: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未进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 CI </w:t>
            </w: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导致质量漂移</w:t>
            </w:r>
          </w:p>
        </w:tc>
        <w:tc>
          <w:tcPr>
            <w:tcW w:type="dxa" w:w="115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高</w:t>
            </w:r>
          </w:p>
        </w:tc>
        <w:tc>
          <w:tcPr>
            <w:tcW w:type="dxa" w:w="115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中</w:t>
            </w:r>
          </w:p>
        </w:tc>
        <w:tc>
          <w:tcPr>
            <w:tcW w:type="dxa" w:w="361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所有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 PR </w:t>
            </w: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运行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 test/build/lint</w:t>
            </w:r>
          </w:p>
        </w:tc>
      </w:tr>
      <w:tr>
        <w:tc>
          <w:tcPr>
            <w:tcW w:type="dxa" w:w="345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工作区信息密度吓退教师用户</w:t>
            </w:r>
          </w:p>
        </w:tc>
        <w:tc>
          <w:tcPr>
            <w:tcW w:type="dxa" w:w="115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中</w:t>
            </w:r>
          </w:p>
        </w:tc>
        <w:tc>
          <w:tcPr>
            <w:tcW w:type="dxa" w:w="115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中</w:t>
            </w:r>
          </w:p>
        </w:tc>
        <w:tc>
          <w:tcPr>
            <w:tcW w:type="dxa" w:w="361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增加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 Teacher Review Mode </w:t>
            </w: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和任务型入口</w:t>
            </w:r>
          </w:p>
        </w:tc>
      </w:tr>
      <w:tr>
        <w:tc>
          <w:tcPr>
            <w:tcW w:type="dxa" w:w="345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过早产品化到组织监控</w:t>
            </w:r>
          </w:p>
        </w:tc>
        <w:tc>
          <w:tcPr>
            <w:tcW w:type="dxa" w:w="115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中</w:t>
            </w:r>
          </w:p>
        </w:tc>
        <w:tc>
          <w:tcPr>
            <w:tcW w:type="dxa" w:w="115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高</w:t>
            </w:r>
          </w:p>
        </w:tc>
        <w:tc>
          <w:tcPr>
            <w:tcW w:type="dxa" w:w="361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限定近期主航道为研究/教育/instructor-facing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 analytics</w:t>
            </w:r>
          </w:p>
        </w:tc>
      </w:tr>
      <w:tr>
        <w:tc>
          <w:tcPr>
            <w:tcW w:type="dxa" w:w="345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大数据集导致浏览器卡顿</w:t>
            </w:r>
          </w:p>
        </w:tc>
        <w:tc>
          <w:tcPr>
            <w:tcW w:type="dxa" w:w="115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中</w:t>
            </w:r>
          </w:p>
        </w:tc>
        <w:tc>
          <w:tcPr>
            <w:tcW w:type="dxa" w:w="115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中</w:t>
            </w:r>
          </w:p>
        </w:tc>
        <w:tc>
          <w:tcPr>
            <w:tcW w:type="dxa" w:w="361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Worker、sampling、server jobs、performance budget</w:t>
            </w:r>
          </w:p>
        </w:tc>
      </w:tr>
      <w:tr>
        <w:tc>
          <w:tcPr>
            <w:tcW w:type="dxa" w:w="3450"/>
            <w:tcBorders>
              <w:top w:val="nil" w:sz="0" w:space="0" w:color="000000"/>
              <w:bottom w:val="single" w:sz="8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报告导出不符合学术格式</w:t>
            </w:r>
          </w:p>
        </w:tc>
        <w:tc>
          <w:tcPr>
            <w:tcW w:type="dxa" w:w="1150"/>
            <w:tcBorders>
              <w:top w:val="nil" w:sz="0" w:space="0" w:color="000000"/>
              <w:bottom w:val="single" w:sz="8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中</w:t>
            </w:r>
          </w:p>
        </w:tc>
        <w:tc>
          <w:tcPr>
            <w:tcW w:type="dxa" w:w="1150"/>
            <w:tcBorders>
              <w:top w:val="nil" w:sz="0" w:space="0" w:color="000000"/>
              <w:bottom w:val="single" w:sz="8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中</w:t>
            </w:r>
          </w:p>
        </w:tc>
        <w:tc>
          <w:tcPr>
            <w:tcW w:type="dxa" w:w="3610"/>
            <w:tcBorders>
              <w:top w:val="nil" w:sz="0" w:space="0" w:color="000000"/>
              <w:bottom w:val="single" w:sz="8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DOCX/PDF render QA、APA table/figure </w:t>
            </w: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style、模板测试</w:t>
            </w:r>
          </w:p>
        </w:tc>
      </w:tr>
    </w:tbl>
    <w:p>
      <w:pPr>
        <w:pStyle w:val="BodyText"/>
        <w:jc w:val="left"/>
        <w:ind/>
        <w:spacing w:before="0" w:after="0" w:line="480" w:lineRule="auto"/>
      </w:pPr>
      <w:r>
        <w:rPr>
          <w:i/>
          <w:iCs/>
          <w:rFonts w:ascii="Times New Roman" w:hAnsi="Times New Roman" w:eastAsia="Times New Roman" w:cs="Times New Roman"/>
          <w:sz w:val="24"/>
          <w:szCs w:val="24"/>
          <w:color w:val="000000"/>
        </w:rPr>
        <w:t xml:space="preserve">Note.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概率和影响是当前项目阶段的规划判断，应在每个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milestone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后更新。</w:t>
      </w:r>
    </w:p>
    <w:bookmarkEnd w:id="40"/>
    <w:bookmarkStart w:id="41" w:name="成功指标"/>
    <w:p>
      <w:pPr>
        <w:pStyle w:val="Heading2"/>
        <w:jc w:val="center"/>
        <w:ind/>
        <w:spacing w:before="0" w:after="0" w:line="480" w:lineRule="auto"/>
        <w:keepNext/>
      </w:pPr>
      <w:r>
        <w:rPr>
          <w:rFonts w:hint="eastAsia" w:ascii="Times New Roman" w:hAnsi="Times New Roman" w:eastAsia="Times New Roman" w:cs="Times New Roman"/>
          <w:sz w:val="24"/>
          <w:szCs w:val="24"/>
          <w:color w:val="000000"/>
          <w:b/>
          <w:bCs/>
        </w:rPr>
        <w:t xml:space="preserve">成功指标</w:t>
      </w:r>
    </w:p>
    <w:p>
      <w:pPr>
        <w:pStyle w:val="FirstParagraph"/>
        <w:jc w:val="left"/>
        <w:ind w:firstLine="720"/>
        <w:spacing w:before="0" w:after="0" w:line="480" w:lineRule="auto"/>
      </w:pP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成功指标要覆盖技术、方法、用户和治理。技术指标包括线上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uptime、build/test/lint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通过率、分析运行耗时、导出成功率和错误率。方法指标包括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benchmark parity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覆盖、SENA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report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中参数完整率、evidence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trace completeness、human review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完成率和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sensitivity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checks。用户指标包括研究者从导入到报告的任务完成率、教师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review session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的理解度、模板复用次数、pilot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项目数量和导出报告数量。治理指标包括项目中记录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consent/IRB metadata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的比例、匿名化状态、audit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events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完整性、权限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review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和数据删除完成时间。</w:t>
      </w:r>
    </w:p>
    <w:p>
      <w:pPr>
        <w:pStyle w:val="BodyText"/>
        <w:jc w:val="left"/>
        <w:ind w:firstLine="720"/>
        <w:spacing w:before="0" w:after="0" w:line="480" w:lineRule="auto"/>
      </w:pP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不建议把“页面访问量”作为早期核心指标。SENA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早期更需要少量高质量试点，而不是高流量低使用深度。一个更好的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3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个月目标是：2-3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个真实或半真实研究/教育案例，所有案例都能导入五表、运行模型、生成报告、回溯证据，并清楚说明方法限制。6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个月目标是：至少一个团队可以在登录后保存项目、邀请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reviewer、生成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human-reviewed report。12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个月目标是：至少一个机构试点通过数据治理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review。</w:t>
      </w:r>
    </w:p>
    <w:p>
      <w:pPr>
        <w:pStyle w:val="BodyText"/>
        <w:jc w:val="left"/>
        <w:ind/>
        <w:spacing w:before="0" w:after="0" w:line="480" w:lineRule="auto"/>
        <w:keepNext/>
      </w:pP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 xml:space="preserve">Table 11</w:t>
      </w:r>
    </w:p>
    <w:p>
      <w:pPr>
        <w:pStyle w:val="BodyText"/>
        <w:jc w:val="left"/>
        <w:ind/>
        <w:spacing w:before="0" w:after="0" w:line="480" w:lineRule="auto"/>
        <w:keepNext/>
      </w:pPr>
      <w:r>
        <w:rPr>
          <w:i/>
          <w:iCs/>
          <w:rFonts w:ascii="Times New Roman" w:hAnsi="Times New Roman" w:eastAsia="Times New Roman" w:cs="Times New Roman"/>
          <w:sz w:val="24"/>
          <w:szCs w:val="24"/>
          <w:color w:val="000000"/>
        </w:rPr>
        <w:t xml:space="preserve">Success metrics by horizon</w:t>
      </w:r>
    </w:p>
    <w:tbl>
      <w:tblPr>
        <w:tblStyle w:val="Table"/>
        <w:tblW w:type="dxa" w:w="9360"/>
        <w:tblLayout w:type="fixed"/>
        <w:tblLook w:firstRow="1" w:lastRow="0" w:firstColumn="0" w:lastColumn="0" w:noHBand="0" w:noVBand="0" w:val="0020"/>
        <w:tblBorders>
          <w:top w:val="nil" w:sz="0" w:color="FFFFFF"/>
          <w:bottom w:val="nil" w:sz="0" w:color="FFFFFF"/>
          <w:left w:val="nil" w:sz="0" w:color="FFFFFF"/>
          <w:right w:val="nil" w:sz="0" w:color="FFFFFF"/>
          <w:insideH w:val="nil" w:sz="0" w:color="FFFFFF"/>
          <w:insideV w:val="nil" w:sz="0" w:color="FFFFFF"/>
        </w:tblBorders>
        <w:tblCellMar>
          <w:top w:type="dxa" w:w="120"/>
          <w:bottom w:type="dxa" w:w="120"/>
          <w:left w:type="dxa" w:w="140"/>
          <w:right w:type="dxa" w:w="140"/>
        </w:tblCellMar>
      </w:tblPr>
      <w:tblGrid>
        <w:gridCol w:w="1250"/>
        <w:gridCol w:w="2850"/>
        <w:gridCol w:w="2850"/>
        <w:gridCol w:w="2910"/>
      </w:tblGrid>
      <w:tr>
        <w:trPr>
          <w:tblHeader w:val="on"/>
        </w:trPr>
        <w:tc>
          <w:tcPr>
            <w:tcW w:type="dxa" w:w="1250"/>
            <w:tcBorders>
              <w:top w:val="single" w:sz="8" w:space="0" w:color="000000"/>
              <w:bottom w:val="single" w:sz="8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  <w:b/>
              </w:rPr>
              <w:t xml:space="preserve">时间</w:t>
            </w:r>
          </w:p>
        </w:tc>
        <w:tc>
          <w:tcPr>
            <w:tcW w:type="dxa" w:w="2850"/>
            <w:tcBorders>
              <w:top w:val="single" w:sz="8" w:space="0" w:color="000000"/>
              <w:bottom w:val="single" w:sz="8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  <w:b/>
              </w:rPr>
              <w:t xml:space="preserve">技术指标</w:t>
            </w:r>
          </w:p>
        </w:tc>
        <w:tc>
          <w:tcPr>
            <w:tcW w:type="dxa" w:w="2850"/>
            <w:tcBorders>
              <w:top w:val="single" w:sz="8" w:space="0" w:color="000000"/>
              <w:bottom w:val="single" w:sz="8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  <w:b/>
              </w:rPr>
              <w:t xml:space="preserve">方法指标</w:t>
            </w:r>
          </w:p>
        </w:tc>
        <w:tc>
          <w:tcPr>
            <w:tcW w:type="dxa" w:w="2910"/>
            <w:tcBorders>
              <w:top w:val="single" w:sz="8" w:space="0" w:color="000000"/>
              <w:bottom w:val="single" w:sz="8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  <w:b/>
              </w:rPr>
              <w:t xml:space="preserve">用户/治理指标</w:t>
            </w:r>
          </w:p>
        </w:tc>
      </w:tr>
      <w:tr>
        <w:tc>
          <w:tcPr>
            <w:tcW w:type="dxa" w:w="125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1 </w:t>
            </w: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个月</w:t>
            </w:r>
          </w:p>
        </w:tc>
        <w:tc>
          <w:tcPr>
            <w:tcW w:type="dxa" w:w="285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uptime、CI、build/test/lint</w:t>
            </w:r>
          </w:p>
        </w:tc>
        <w:tc>
          <w:tcPr>
            <w:tcW w:type="dxa" w:w="285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demo </w:t>
            </w: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数据可复现</w:t>
            </w:r>
          </w:p>
        </w:tc>
        <w:tc>
          <w:tcPr>
            <w:tcW w:type="dxa" w:w="291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外部用户可访问并运行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 sample</w:t>
            </w:r>
          </w:p>
        </w:tc>
      </w:tr>
      <w:tr>
        <w:tc>
          <w:tcPr>
            <w:tcW w:type="dxa" w:w="125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3 </w:t>
            </w: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个月</w:t>
            </w:r>
          </w:p>
        </w:tc>
        <w:tc>
          <w:tcPr>
            <w:tcW w:type="dxa" w:w="285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report export </w:t>
            </w: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成功率、runtime</w:t>
            </w:r>
          </w:p>
        </w:tc>
        <w:tc>
          <w:tcPr>
            <w:tcW w:type="dxa" w:w="285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rENA/sna benchmark notes</w:t>
            </w:r>
          </w:p>
        </w:tc>
        <w:tc>
          <w:tcPr>
            <w:tcW w:type="dxa" w:w="291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2-3 </w:t>
            </w: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 pilot case </w:t>
            </w: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和模板</w:t>
            </w:r>
          </w:p>
        </w:tc>
      </w:tr>
      <w:tr>
        <w:tc>
          <w:tcPr>
            <w:tcW w:type="dxa" w:w="125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6 </w:t>
            </w: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个月</w:t>
            </w:r>
          </w:p>
        </w:tc>
        <w:tc>
          <w:tcPr>
            <w:tcW w:type="dxa" w:w="285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saved project </w:t>
            </w: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稳定性</w:t>
            </w:r>
          </w:p>
        </w:tc>
        <w:tc>
          <w:tcPr>
            <w:tcW w:type="dxa" w:w="285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review status </w:t>
            </w: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和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 evidence completeness</w:t>
            </w:r>
          </w:p>
        </w:tc>
        <w:tc>
          <w:tcPr>
            <w:tcW w:type="dxa" w:w="291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团队协作完成报告</w:t>
            </w:r>
          </w:p>
        </w:tc>
      </w:tr>
      <w:tr>
        <w:tc>
          <w:tcPr>
            <w:tcW w:type="dxa" w:w="1250"/>
            <w:tcBorders>
              <w:top w:val="nil" w:sz="0" w:space="0" w:color="000000"/>
              <w:bottom w:val="single" w:sz="8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12 </w:t>
            </w: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个月</w:t>
            </w:r>
          </w:p>
        </w:tc>
        <w:tc>
          <w:tcPr>
            <w:tcW w:type="dxa" w:w="2850"/>
            <w:tcBorders>
              <w:top w:val="nil" w:sz="0" w:space="0" w:color="000000"/>
              <w:bottom w:val="single" w:sz="8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observability、job queue</w:t>
            </w:r>
          </w:p>
        </w:tc>
        <w:tc>
          <w:tcPr>
            <w:tcW w:type="dxa" w:w="2850"/>
            <w:tcBorders>
              <w:top w:val="nil" w:sz="0" w:space="0" w:color="000000"/>
              <w:bottom w:val="single" w:sz="8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sensitivity/stability checks</w:t>
            </w:r>
          </w:p>
        </w:tc>
        <w:tc>
          <w:tcPr>
            <w:tcW w:type="dxa" w:w="2910"/>
            <w:tcBorders>
              <w:top w:val="nil" w:sz="0" w:space="0" w:color="000000"/>
              <w:bottom w:val="single" w:sz="8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机构治理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 review </w:t>
            </w: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通过</w:t>
            </w:r>
          </w:p>
        </w:tc>
      </w:tr>
    </w:tbl>
    <w:p>
      <w:pPr>
        <w:pStyle w:val="BodyText"/>
        <w:jc w:val="left"/>
        <w:ind/>
        <w:spacing w:before="0" w:after="0" w:line="480" w:lineRule="auto"/>
      </w:pPr>
      <w:r>
        <w:rPr>
          <w:i/>
          <w:iCs/>
          <w:rFonts w:ascii="Times New Roman" w:hAnsi="Times New Roman" w:eastAsia="Times New Roman" w:cs="Times New Roman"/>
          <w:sz w:val="24"/>
          <w:szCs w:val="24"/>
          <w:color w:val="000000"/>
        </w:rPr>
        <w:t xml:space="preserve">Note.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指标应绑定可检查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artifact，避免只记录主观进度。</w:t>
      </w:r>
    </w:p>
    <w:bookmarkEnd w:id="41"/>
    <w:bookmarkStart w:id="42" w:name="预算与资源假设"/>
    <w:p>
      <w:pPr>
        <w:pStyle w:val="Heading2"/>
        <w:jc w:val="center"/>
        <w:ind/>
        <w:spacing w:before="0" w:after="0" w:line="480" w:lineRule="auto"/>
        <w:keepNext/>
      </w:pPr>
      <w:r>
        <w:rPr>
          <w:rFonts w:hint="eastAsia" w:ascii="Times New Roman" w:hAnsi="Times New Roman" w:eastAsia="Times New Roman" w:cs="Times New Roman"/>
          <w:sz w:val="24"/>
          <w:szCs w:val="24"/>
          <w:color w:val="000000"/>
          <w:b/>
          <w:bCs/>
        </w:rPr>
        <w:t xml:space="preserve">预算与资源假设</w:t>
      </w:r>
    </w:p>
    <w:p>
      <w:pPr>
        <w:pStyle w:val="FirstParagraph"/>
        <w:jc w:val="left"/>
        <w:ind w:firstLine="720"/>
        <w:spacing w:before="0" w:after="0" w:line="480" w:lineRule="auto"/>
      </w:pP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如果以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12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个月形成机构试点为目标，最低可行资源是一个小型核心团队和有限外部顾问。人员成本通常是主要预算。若采用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4-5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人兼职/全职混合团队，重点支出包括工程开发、analytics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validation、文档/案例、设计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QA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和数据治理咨询。云成本在早期不会很高，因为当前大部分分析可在浏览器或轻量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API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中运行；真正增加成本的是持久化、对象存储、report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rendering、AI coding、benchmark jobs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和监控。</w:t>
      </w:r>
    </w:p>
    <w:p>
      <w:pPr>
        <w:pStyle w:val="BodyText"/>
        <w:jc w:val="left"/>
        <w:ind w:firstLine="720"/>
        <w:spacing w:before="0" w:after="0" w:line="480" w:lineRule="auto"/>
      </w:pP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预算规划应保守。前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3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个月避免大额基础设施投入，把资源放在可靠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demo、报告和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benchmark。3-6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个月开始引入数据库、对象存储、auth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provider、error monitoring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和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preview deployment。6-12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个月如果进入机构试点，再增加安全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review、备份、数据保留、日志、队列和可能的合规咨询。AI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provider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成本应等到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AI-assisted coding workflow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的治理要求明确后再纳入，而不是先把模型调用嵌入核心流程。</w:t>
      </w:r>
    </w:p>
    <w:p>
      <w:pPr>
        <w:pStyle w:val="BodyText"/>
        <w:jc w:val="left"/>
        <w:ind/>
        <w:spacing w:before="0" w:after="0" w:line="480" w:lineRule="auto"/>
        <w:keepNext/>
      </w:pP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 xml:space="preserve">Table 12</w:t>
      </w:r>
    </w:p>
    <w:p>
      <w:pPr>
        <w:pStyle w:val="BodyText"/>
        <w:jc w:val="left"/>
        <w:ind/>
        <w:spacing w:before="0" w:after="0" w:line="480" w:lineRule="auto"/>
        <w:keepNext/>
      </w:pPr>
      <w:r>
        <w:rPr>
          <w:i/>
          <w:iCs/>
          <w:rFonts w:ascii="Times New Roman" w:hAnsi="Times New Roman" w:eastAsia="Times New Roman" w:cs="Times New Roman"/>
          <w:sz w:val="24"/>
          <w:szCs w:val="24"/>
          <w:color w:val="000000"/>
        </w:rPr>
        <w:t xml:space="preserve">Budget and resource assumptions</w:t>
      </w:r>
    </w:p>
    <w:tbl>
      <w:tblPr>
        <w:tblStyle w:val="Table"/>
        <w:tblW w:type="dxa" w:w="9360"/>
        <w:tblLayout w:type="fixed"/>
        <w:tblLook w:firstRow="1" w:lastRow="0" w:firstColumn="0" w:lastColumn="0" w:noHBand="0" w:noVBand="0" w:val="0020"/>
        <w:tblBorders>
          <w:top w:val="nil" w:sz="0" w:color="FFFFFF"/>
          <w:bottom w:val="nil" w:sz="0" w:color="FFFFFF"/>
          <w:left w:val="nil" w:sz="0" w:color="FFFFFF"/>
          <w:right w:val="nil" w:sz="0" w:color="FFFFFF"/>
          <w:insideH w:val="nil" w:sz="0" w:color="FFFFFF"/>
          <w:insideV w:val="nil" w:sz="0" w:color="FFFFFF"/>
        </w:tblBorders>
        <w:tblCellMar>
          <w:top w:type="dxa" w:w="120"/>
          <w:bottom w:type="dxa" w:w="120"/>
          <w:left w:type="dxa" w:w="140"/>
          <w:right w:type="dxa" w:w="140"/>
        </w:tblCellMar>
      </w:tblPr>
      <w:tblGrid>
        <w:gridCol w:w="1550"/>
        <w:gridCol w:w="2950"/>
        <w:gridCol w:w="3050"/>
        <w:gridCol w:w="2810"/>
      </w:tblGrid>
      <w:tr>
        <w:trPr>
          <w:tblHeader w:val="on"/>
        </w:trPr>
        <w:tc>
          <w:tcPr>
            <w:tcW w:type="dxa" w:w="1550"/>
            <w:tcBorders>
              <w:top w:val="single" w:sz="8" w:space="0" w:color="000000"/>
              <w:bottom w:val="single" w:sz="8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  <w:b/>
              </w:rPr>
              <w:t xml:space="preserve">类别</w:t>
            </w:r>
          </w:p>
        </w:tc>
        <w:tc>
          <w:tcPr>
            <w:tcW w:type="dxa" w:w="2950"/>
            <w:tcBorders>
              <w:top w:val="single" w:sz="8" w:space="0" w:color="000000"/>
              <w:bottom w:val="single" w:sz="8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  <w:b/>
              </w:rPr>
              <w:t xml:space="preserve">0-3 </w:t>
            </w: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  <w:b/>
              </w:rPr>
              <w:t xml:space="preserve">个月</w:t>
            </w:r>
          </w:p>
        </w:tc>
        <w:tc>
          <w:tcPr>
            <w:tcW w:type="dxa" w:w="3050"/>
            <w:tcBorders>
              <w:top w:val="single" w:sz="8" w:space="0" w:color="000000"/>
              <w:bottom w:val="single" w:sz="8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  <w:b/>
              </w:rPr>
              <w:t xml:space="preserve">3-6 </w:t>
            </w: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  <w:b/>
              </w:rPr>
              <w:t xml:space="preserve">个月</w:t>
            </w:r>
          </w:p>
        </w:tc>
        <w:tc>
          <w:tcPr>
            <w:tcW w:type="dxa" w:w="2810"/>
            <w:tcBorders>
              <w:top w:val="single" w:sz="8" w:space="0" w:color="000000"/>
              <w:bottom w:val="single" w:sz="8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  <w:b/>
              </w:rPr>
              <w:t xml:space="preserve">6-12 </w:t>
            </w: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  <w:b/>
              </w:rPr>
              <w:t xml:space="preserve">个月</w:t>
            </w:r>
          </w:p>
        </w:tc>
      </w:tr>
      <w:tr>
        <w:tc>
          <w:tcPr>
            <w:tcW w:type="dxa" w:w="155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人员</w:t>
            </w:r>
          </w:p>
        </w:tc>
        <w:tc>
          <w:tcPr>
            <w:tcW w:type="dxa" w:w="295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2-3 </w:t>
            </w: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人核心开发与研究</w:t>
            </w:r>
          </w:p>
        </w:tc>
        <w:tc>
          <w:tcPr>
            <w:tcW w:type="dxa" w:w="305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3-4 </w:t>
            </w: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人补平台和报告</w:t>
            </w:r>
          </w:p>
        </w:tc>
        <w:tc>
          <w:tcPr>
            <w:tcW w:type="dxa" w:w="281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4-5 </w:t>
            </w: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人含治理/运维</w:t>
            </w:r>
          </w:p>
        </w:tc>
      </w:tr>
      <w:tr>
        <w:tc>
          <w:tcPr>
            <w:tcW w:type="dxa" w:w="155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云服务</w:t>
            </w:r>
          </w:p>
        </w:tc>
        <w:tc>
          <w:tcPr>
            <w:tcW w:type="dxa" w:w="295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Vercel/基础监控</w:t>
            </w:r>
          </w:p>
        </w:tc>
        <w:tc>
          <w:tcPr>
            <w:tcW w:type="dxa" w:w="305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DB、对象存储、auth、Sentry</w:t>
            </w:r>
          </w:p>
        </w:tc>
        <w:tc>
          <w:tcPr>
            <w:tcW w:type="dxa" w:w="281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queue、backup、audit、institution hosting</w:t>
            </w:r>
          </w:p>
        </w:tc>
      </w:tr>
      <w:tr>
        <w:tc>
          <w:tcPr>
            <w:tcW w:type="dxa" w:w="155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方法验证</w:t>
            </w:r>
          </w:p>
        </w:tc>
        <w:tc>
          <w:tcPr>
            <w:tcW w:type="dxa" w:w="295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toy </w:t>
            </w: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 research-shaped goldens</w:t>
            </w:r>
          </w:p>
        </w:tc>
        <w:tc>
          <w:tcPr>
            <w:tcW w:type="dxa" w:w="305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rENA/R sna parity </w:t>
            </w: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扩展</w:t>
            </w:r>
          </w:p>
        </w:tc>
        <w:tc>
          <w:tcPr>
            <w:tcW w:type="dxa" w:w="281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stability、group </w:t>
            </w: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comparison、外部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 review</w:t>
            </w:r>
          </w:p>
        </w:tc>
      </w:tr>
      <w:tr>
        <w:tc>
          <w:tcPr>
            <w:tcW w:type="dxa" w:w="155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内容/试点</w:t>
            </w:r>
          </w:p>
        </w:tc>
        <w:tc>
          <w:tcPr>
            <w:tcW w:type="dxa" w:w="295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模板和样例</w:t>
            </w:r>
          </w:p>
        </w:tc>
        <w:tc>
          <w:tcPr>
            <w:tcW w:type="dxa" w:w="305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2-3 </w:t>
            </w: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个案例</w:t>
            </w:r>
          </w:p>
        </w:tc>
        <w:tc>
          <w:tcPr>
            <w:tcW w:type="dxa" w:w="2810"/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机构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 pilot materials</w:t>
            </w:r>
          </w:p>
        </w:tc>
      </w:tr>
      <w:tr>
        <w:tc>
          <w:tcPr>
            <w:tcW w:type="dxa" w:w="1550"/>
            <w:tcBorders>
              <w:top w:val="nil" w:sz="0" w:space="0" w:color="000000"/>
              <w:bottom w:val="single" w:sz="8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合规治理</w:t>
            </w:r>
          </w:p>
        </w:tc>
        <w:tc>
          <w:tcPr>
            <w:tcW w:type="dxa" w:w="2950"/>
            <w:tcBorders>
              <w:top w:val="nil" w:sz="0" w:space="0" w:color="000000"/>
              <w:bottom w:val="single" w:sz="8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文档和警告</w:t>
            </w:r>
          </w:p>
        </w:tc>
        <w:tc>
          <w:tcPr>
            <w:tcW w:type="dxa" w:w="3050"/>
            <w:tcBorders>
              <w:top w:val="nil" w:sz="0" w:space="0" w:color="000000"/>
              <w:bottom w:val="single" w:sz="8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基础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 privacy workflow</w:t>
            </w:r>
          </w:p>
        </w:tc>
        <w:tc>
          <w:tcPr>
            <w:tcW w:type="dxa" w:w="2810"/>
            <w:tcBorders>
              <w:top w:val="nil" w:sz="0" w:space="0" w:color="000000"/>
              <w:bottom w:val="single" w:sz="8" w:space="0" w:color="000000"/>
              <w:left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</w:tcPr>
          <w:p>
            <w:pPr>
              <w:pStyle w:val="Compact"/>
              <w:jc w:val="left"/>
              <w:ind/>
              <w:spacing w:before="0" w:after="40" w:line="300" w:lineRule="auto"/>
            </w:pP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安全/伦理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 review </w:t>
            </w:r>
            <w:r>
              <w:rPr>
                <w:rFonts w:hint="eastAsia" w:ascii="Times New Roman" w:hAnsi="Times New Roman" w:eastAsia="Times New Roman" w:cs="Times New Roman"/>
                <w:sz w:val="20"/>
                <w:szCs w:val="20"/>
                <w:color w:val="000000"/>
              </w:rPr>
              <w:t xml:space="preserve">支持</w:t>
            </w:r>
          </w:p>
        </w:tc>
      </w:tr>
    </w:tbl>
    <w:p>
      <w:pPr>
        <w:pStyle w:val="BodyText"/>
        <w:jc w:val="left"/>
        <w:ind/>
        <w:spacing w:before="0" w:after="0" w:line="480" w:lineRule="auto"/>
      </w:pPr>
      <w:r>
        <w:rPr>
          <w:i/>
          <w:iCs/>
          <w:rFonts w:ascii="Times New Roman" w:hAnsi="Times New Roman" w:eastAsia="Times New Roman" w:cs="Times New Roman"/>
          <w:sz w:val="24"/>
          <w:szCs w:val="24"/>
          <w:color w:val="000000"/>
        </w:rPr>
        <w:t xml:space="preserve">Note.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预算数字应在确认团队地点、雇佣形式和托管平台后另行估算；本表只给资源结构。</w:t>
      </w:r>
    </w:p>
    <w:bookmarkEnd w:id="42"/>
    <w:bookmarkStart w:id="43" w:name="未来扩展"/>
    <w:p>
      <w:pPr>
        <w:pStyle w:val="Heading2"/>
        <w:jc w:val="center"/>
        <w:ind/>
        <w:spacing w:before="0" w:after="0" w:line="480" w:lineRule="auto"/>
        <w:keepNext/>
      </w:pPr>
      <w:r>
        <w:rPr>
          <w:rFonts w:hint="eastAsia" w:ascii="Times New Roman" w:hAnsi="Times New Roman" w:eastAsia="Times New Roman" w:cs="Times New Roman"/>
          <w:sz w:val="24"/>
          <w:szCs w:val="24"/>
          <w:color w:val="000000"/>
          <w:b/>
          <w:bCs/>
        </w:rPr>
        <w:t xml:space="preserve">未来扩展</w:t>
      </w:r>
    </w:p>
    <w:p>
      <w:pPr>
        <w:pStyle w:val="FirstParagraph"/>
        <w:jc w:val="left"/>
        <w:ind w:firstLine="720"/>
        <w:spacing w:before="0" w:after="0" w:line="480" w:lineRule="auto"/>
      </w:pP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未来扩展可以分为方法扩展、产品扩展和生态扩展。方法扩展包括正式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joint embedding、spectral or multilayer graph methods、permutation testing、group comparison、confidence intervals、coding reliability、dynamic network metrics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和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multimodal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data。产品扩展包括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AI-assisted coding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studio、可交互报告、teacher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intervention planner、shared review workspace、template marketplace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和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longitudinal project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comparison。生态扩展包括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LMS/LTI、Moodle/Canvas、Knowledge Forum、Slack/Teams、GitHub issues、Zoom transcript、ORCID、institution SSO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和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public API。</w:t>
      </w:r>
    </w:p>
    <w:p>
      <w:pPr>
        <w:pStyle w:val="BodyText"/>
        <w:jc w:val="left"/>
        <w:ind w:firstLine="720"/>
        <w:spacing w:before="0" w:after="0" w:line="480" w:lineRule="auto"/>
      </w:pP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这些扩展都应服从一个原则：只有当数据契约、证据追溯、参数记录和人类复核能跟上时，才扩大自动化。SENA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的品牌可信度应来自严谨和透明，而不是“自动给出结论”。如果未来引入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LLM，最适合的角色是辅助编码建议、报告草稿、证据摘要和方法说明，而不是直接替代研究判断。</w:t>
      </w:r>
    </w:p>
    <w:bookmarkEnd w:id="43"/>
    <w:bookmarkStart w:id="44" w:name="附录-a建议的项目-manifest"/>
    <w:p>
      <w:pPr>
        <w:pStyle w:val="Heading2"/>
        <w:jc w:val="center"/>
        <w:ind/>
        <w:spacing w:before="0" w:after="0" w:line="480" w:lineRule="auto"/>
        <w:keepNext/>
      </w:pPr>
      <w:r>
        <w:rPr>
          <w:rFonts w:hint="eastAsia" w:ascii="Times New Roman" w:hAnsi="Times New Roman" w:eastAsia="Times New Roman" w:cs="Times New Roman"/>
          <w:sz w:val="24"/>
          <w:szCs w:val="24"/>
          <w:color w:val="000000"/>
          <w:b/>
          <w:bCs/>
        </w:rPr>
        <w:t xml:space="preserve">附录</w:t>
      </w:r>
      <w:r>
        <w:rPr>
          <w:rFonts w:ascii="Times New Roman" w:hAnsi="Times New Roman" w:eastAsia="Times New Roman" w:cs="Times New Roman"/>
          <w:sz w:val="24"/>
          <w:szCs w:val="24"/>
          <w:color w:val="000000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  <w:b/>
          <w:bCs/>
        </w:rPr>
        <w:t xml:space="preserve">A：建议的项目</w:t>
      </w:r>
      <w:r>
        <w:rPr>
          <w:rFonts w:ascii="Times New Roman" w:hAnsi="Times New Roman" w:eastAsia="Times New Roman" w:cs="Times New Roman"/>
          <w:sz w:val="24"/>
          <w:szCs w:val="24"/>
          <w:color w:val="000000"/>
          <w:b/>
          <w:bCs/>
        </w:rPr>
        <w:t xml:space="preserve"> manifest</w:t>
      </w:r>
    </w:p>
    <w:p>
      <w:pPr>
        <w:pStyle w:val="FirstParagraph"/>
        <w:jc w:val="left"/>
        <w:ind w:firstLine="720"/>
        <w:spacing w:before="0" w:after="0" w:line="480" w:lineRule="auto"/>
      </w:pP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每个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SENA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项目建议保存以下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manifest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字段：projectId、title、purpose、owner、team、datasetVersion、sourceFiles、peopleTableVersion、interactionsTableVersion、utterancesTableVersion、codedSegmentsVersion、codebookVersion、codingProvenance、irbOrConsentMetadata、anonymizationStatus、analysisParameters、normalization、alphaBetaGamma、temporalMode、runtimeVersions、reportIds、reviewStatus、createdAt、updatedAt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和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auditLogPointer。这个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manifest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是复现、审计、报告和协作的共同根对象。</w:t>
      </w:r>
    </w:p>
    <w:bookmarkEnd w:id="44"/>
    <w:bookmarkStart w:id="45" w:name="附录-b当前验证结果摘要"/>
    <w:p>
      <w:pPr>
        <w:pStyle w:val="Heading2"/>
        <w:jc w:val="center"/>
        <w:ind/>
        <w:spacing w:before="0" w:after="0" w:line="480" w:lineRule="auto"/>
        <w:keepNext/>
      </w:pPr>
      <w:r>
        <w:rPr>
          <w:rFonts w:hint="eastAsia" w:ascii="Times New Roman" w:hAnsi="Times New Roman" w:eastAsia="Times New Roman" w:cs="Times New Roman"/>
          <w:sz w:val="24"/>
          <w:szCs w:val="24"/>
          <w:color w:val="000000"/>
          <w:b/>
          <w:bCs/>
        </w:rPr>
        <w:t xml:space="preserve">附录</w:t>
      </w:r>
      <w:r>
        <w:rPr>
          <w:rFonts w:ascii="Times New Roman" w:hAnsi="Times New Roman" w:eastAsia="Times New Roman" w:cs="Times New Roman"/>
          <w:sz w:val="24"/>
          <w:szCs w:val="24"/>
          <w:color w:val="000000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  <w:b/>
          <w:bCs/>
        </w:rPr>
        <w:t xml:space="preserve">B：当前验证结果摘要</w:t>
      </w:r>
    </w:p>
    <w:p>
      <w:pPr>
        <w:pStyle w:val="FirstParagraph"/>
        <w:jc w:val="left"/>
        <w:ind w:firstLine="720"/>
        <w:spacing w:before="0" w:after="0" w:line="480" w:lineRule="auto"/>
      </w:pP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本次自动化运行完成了以下检查：读取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AGENTS.md、README、package/config、主要源码、vendor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runtime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文档、已有中文报告和测试文件；公开访问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www.sena.hk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未获得可用页面，记录为部署风险；运行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4"/>
          <w:szCs w:val="24"/>
          <w:color w:val="000000"/>
        </w:rPr>
        <w:t xml:space="preserve">npm test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于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4"/>
          <w:szCs w:val="24"/>
          <w:color w:val="000000"/>
        </w:rPr>
        <w:t xml:space="preserve">sena-hk-template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，结果为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6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个测试文件、69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项测试通过；运行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4"/>
          <w:szCs w:val="24"/>
          <w:color w:val="000000"/>
        </w:rPr>
        <w:t xml:space="preserve">npm run build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，Next.js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production build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成功；运行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4"/>
          <w:szCs w:val="24"/>
          <w:color w:val="000000"/>
        </w:rPr>
        <w:t xml:space="preserve">npm run lint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，Next.js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ESLint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非交互通过且无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warnings/errors；运行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4"/>
          <w:szCs w:val="24"/>
          <w:color w:val="000000"/>
        </w:rPr>
        <w:t xml:space="preserve">npm test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于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4"/>
          <w:szCs w:val="24"/>
          <w:color w:val="000000"/>
        </w:rPr>
        <w:t xml:space="preserve">vendor/sna-js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，结果为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1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个测试文件、12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项测试通过；运行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4"/>
          <w:szCs w:val="24"/>
          <w:color w:val="000000"/>
        </w:rPr>
        <w:t xml:space="preserve">npm run goldens:r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于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4"/>
          <w:szCs w:val="24"/>
          <w:color w:val="000000"/>
        </w:rPr>
        <w:t xml:space="preserve">vendor/jena-js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，用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rENA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生成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toy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与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research-shaped golden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fixtures；运行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4"/>
          <w:szCs w:val="24"/>
          <w:color w:val="000000"/>
        </w:rPr>
        <w:t xml:space="preserve">npm test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于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4"/>
          <w:szCs w:val="24"/>
          <w:color w:val="000000"/>
        </w:rPr>
        <w:t xml:space="preserve">vendor/jena-js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，结果为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3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个测试文件、24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项测试通过；运行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4"/>
          <w:szCs w:val="24"/>
          <w:color w:val="000000"/>
        </w:rPr>
        <w:t xml:space="preserve">npm run typecheck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与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4"/>
          <w:szCs w:val="24"/>
          <w:color w:val="000000"/>
        </w:rPr>
        <w:t xml:space="preserve">npm run build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于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4"/>
          <w:szCs w:val="24"/>
          <w:color w:val="000000"/>
        </w:rPr>
        <w:t xml:space="preserve">vendor/jena-js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，均通过。</w:t>
      </w:r>
    </w:p>
    <w:bookmarkEnd w:id="45"/>
    <w:bookmarkStart w:id="46" w:name="附录-c参考的本地项目文件"/>
    <w:p>
      <w:pPr>
        <w:pStyle w:val="Heading2"/>
        <w:jc w:val="center"/>
        <w:ind/>
        <w:spacing w:before="0" w:after="0" w:line="480" w:lineRule="auto"/>
        <w:keepNext/>
      </w:pPr>
      <w:r>
        <w:rPr>
          <w:rFonts w:hint="eastAsia" w:ascii="Times New Roman" w:hAnsi="Times New Roman" w:eastAsia="Times New Roman" w:cs="Times New Roman"/>
          <w:sz w:val="24"/>
          <w:szCs w:val="24"/>
          <w:color w:val="000000"/>
          <w:b/>
          <w:bCs/>
        </w:rPr>
        <w:t xml:space="preserve">附录</w:t>
      </w:r>
      <w:r>
        <w:rPr>
          <w:rFonts w:ascii="Times New Roman" w:hAnsi="Times New Roman" w:eastAsia="Times New Roman" w:cs="Times New Roman"/>
          <w:sz w:val="24"/>
          <w:szCs w:val="24"/>
          <w:color w:val="000000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  <w:b/>
          <w:bCs/>
        </w:rPr>
        <w:t xml:space="preserve">C：参考的本地项目文件</w:t>
      </w:r>
    </w:p>
    <w:p>
      <w:pPr>
        <w:pStyle w:val="FirstParagraph"/>
        <w:jc w:val="left"/>
        <w:ind w:firstLine="720"/>
        <w:spacing w:before="0" w:after="0" w:line="480" w:lineRule="auto"/>
      </w:pP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本报告主要参考了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4"/>
          <w:szCs w:val="24"/>
          <w:color w:val="000000"/>
        </w:rPr>
        <w:t xml:space="preserve">AGENTS.md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  <w:sz w:val="24"/>
          <w:szCs w:val="24"/>
          <w:color w:val="000000"/>
        </w:rPr>
        <w:t xml:space="preserve">sena-hk-template/README.md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  <w:sz w:val="24"/>
          <w:szCs w:val="24"/>
          <w:color w:val="000000"/>
        </w:rPr>
        <w:t xml:space="preserve">sena-hk-template/package.json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  <w:sz w:val="24"/>
          <w:szCs w:val="24"/>
          <w:color w:val="000000"/>
        </w:rPr>
        <w:t xml:space="preserve">next.config.mjs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  <w:sz w:val="24"/>
          <w:szCs w:val="24"/>
          <w:color w:val="000000"/>
        </w:rPr>
        <w:t xml:space="preserve">tailwind.config.ts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  <w:sz w:val="24"/>
          <w:szCs w:val="24"/>
          <w:color w:val="000000"/>
        </w:rPr>
        <w:t xml:space="preserve">app/page.tsx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  <w:sz w:val="24"/>
          <w:szCs w:val="24"/>
          <w:color w:val="000000"/>
        </w:rPr>
        <w:t xml:space="preserve">app/layout.tsx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  <w:sz w:val="24"/>
          <w:szCs w:val="24"/>
          <w:color w:val="000000"/>
        </w:rPr>
        <w:t xml:space="preserve">components/LanguageProvider.tsx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  <w:sz w:val="24"/>
          <w:szCs w:val="24"/>
          <w:color w:val="000000"/>
        </w:rPr>
        <w:t xml:space="preserve">components/ThemeProvider.tsx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  <w:sz w:val="24"/>
          <w:szCs w:val="24"/>
          <w:color w:val="000000"/>
        </w:rPr>
        <w:t xml:space="preserve">components/Hero.tsx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  <w:sz w:val="24"/>
          <w:szCs w:val="24"/>
          <w:color w:val="000000"/>
        </w:rPr>
        <w:t xml:space="preserve">components/Workflow.tsx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  <w:sz w:val="24"/>
          <w:szCs w:val="24"/>
          <w:color w:val="000000"/>
        </w:rPr>
        <w:t xml:space="preserve">components/MethodSection.tsx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  <w:sz w:val="24"/>
          <w:szCs w:val="24"/>
          <w:color w:val="000000"/>
        </w:rPr>
        <w:t xml:space="preserve">components/WorkspacePreview.tsx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  <w:sz w:val="24"/>
          <w:szCs w:val="24"/>
          <w:color w:val="000000"/>
        </w:rPr>
        <w:t xml:space="preserve">components/EthicsSection.tsx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  <w:sz w:val="24"/>
          <w:szCs w:val="24"/>
          <w:color w:val="000000"/>
        </w:rPr>
        <w:t xml:space="preserve">components/DocsSection.tsx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  <w:sz w:val="24"/>
          <w:szCs w:val="24"/>
          <w:color w:val="000000"/>
        </w:rPr>
        <w:t xml:space="preserve">app/workspace/ena/EnaWorkspaceClient.tsx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  <w:sz w:val="24"/>
          <w:szCs w:val="24"/>
          <w:color w:val="000000"/>
        </w:rPr>
        <w:t xml:space="preserve">app/api/ena/run/route.ts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  <w:sz w:val="24"/>
          <w:szCs w:val="24"/>
          <w:color w:val="000000"/>
        </w:rPr>
        <w:t xml:space="preserve">components/sena/SenaFusionWorkspace.tsx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  <w:sz w:val="24"/>
          <w:szCs w:val="24"/>
          <w:color w:val="000000"/>
        </w:rPr>
        <w:t xml:space="preserve">lib/ena/*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  <w:sz w:val="24"/>
          <w:szCs w:val="24"/>
          <w:color w:val="000000"/>
        </w:rPr>
        <w:t xml:space="preserve">lib/sena/*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  <w:sz w:val="24"/>
          <w:szCs w:val="24"/>
          <w:color w:val="000000"/>
        </w:rPr>
        <w:t xml:space="preserve">vendor/jena-js/README.md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  <w:sz w:val="24"/>
          <w:szCs w:val="24"/>
          <w:color w:val="000000"/>
        </w:rPr>
        <w:t xml:space="preserve">vendor/sna-js/README.md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  <w:sz w:val="24"/>
          <w:szCs w:val="24"/>
          <w:color w:val="000000"/>
        </w:rPr>
        <w:t xml:space="preserve">vendor/sna-js/docs/*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  <w:sz w:val="24"/>
          <w:szCs w:val="24"/>
          <w:color w:val="000000"/>
        </w:rPr>
        <w:t xml:space="preserve">SENA_web_tool_development_spec.md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  <w:sz w:val="24"/>
          <w:szCs w:val="24"/>
          <w:color w:val="000000"/>
        </w:rPr>
        <w:t xml:space="preserve">SENA_feasibility_and_mvp_analysis.md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  <w:sz w:val="24"/>
          <w:szCs w:val="24"/>
          <w:color w:val="000000"/>
        </w:rPr>
        <w:t xml:space="preserve">SENA_formula_formal_analysis.md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和已有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SENA </w:t>
      </w:r>
      <w:r>
        <w:rPr>
          <w:rFonts w:hint="eastAsia" w:ascii="Times New Roman" w:hAnsi="Times New Roman" w:eastAsia="Times New Roman" w:cs="Times New Roman"/>
          <w:sz w:val="24"/>
          <w:szCs w:val="24"/>
          <w:color w:val="000000"/>
        </w:rPr>
        <w:t xml:space="preserve">应用领域报告。</w:t>
      </w:r>
    </w:p>
    <w:bookmarkEnd w:id="46"/>
    <w:bookmarkStart w:id="47" w:name="references"/>
    <w:p>
      <w:pPr>
        <w:pStyle w:val="Heading2"/>
        <w:jc w:val="center"/>
        <w:ind/>
        <w:spacing w:before="0" w:after="0" w:line="480" w:lineRule="auto"/>
        <w:pageBreakBefore/>
        <w:keepNext/>
      </w:pPr>
      <w:r>
        <w:rPr>
          <w:rFonts w:ascii="Times New Roman" w:hAnsi="Times New Roman" w:eastAsia="Times New Roman" w:cs="Times New Roman"/>
          <w:sz w:val="24"/>
          <w:szCs w:val="24"/>
          <w:color w:val="000000"/>
          <w:b/>
          <w:bCs/>
        </w:rPr>
        <w:t xml:space="preserve">References</w:t>
      </w:r>
    </w:p>
    <w:p>
      <w:pPr>
        <w:pStyle w:val="FirstParagraph"/>
        <w:jc w:val="left"/>
        <w:ind w:left="720" w:hanging="720"/>
        <w:spacing w:before="0" w:after="0" w:line="48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Bowman, N. A., Frank, K. A., &amp; Shaffer, D. W. (2021). The mathematical foundations of epistemic network analysis. In D. Williamson Shaffer (Ed.),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i/>
          <w:iCs/>
          <w:rFonts w:ascii="Times New Roman" w:hAnsi="Times New Roman" w:eastAsia="Times New Roman" w:cs="Times New Roman"/>
          <w:sz w:val="24"/>
          <w:szCs w:val="24"/>
          <w:color w:val="000000"/>
        </w:rPr>
        <w:t xml:space="preserve">Computer-supported collaboration with epistemic network analysis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(pp. 91-108). Springer. https://doi.org/10.1007/978-3-030-67788-6_7</w:t>
      </w:r>
    </w:p>
    <w:p>
      <w:pPr>
        <w:pStyle w:val="BodyText"/>
        <w:jc w:val="left"/>
        <w:ind w:left="720" w:hanging="720"/>
        <w:spacing w:before="0" w:after="0" w:line="48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Drachsler, H., &amp; Greller, W. (2016). Privacy and analytics: It’s a DELICATE issue. In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i/>
          <w:iCs/>
          <w:rFonts w:ascii="Times New Roman" w:hAnsi="Times New Roman" w:eastAsia="Times New Roman" w:cs="Times New Roman"/>
          <w:sz w:val="24"/>
          <w:szCs w:val="24"/>
          <w:color w:val="000000"/>
        </w:rPr>
        <w:t xml:space="preserve">Proceedings of the Sixth International Conference on Learning Analytics &amp; Knowledge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(pp. 89-98). ACM. https://doi.org/10.1145/2883851.2883893</w:t>
      </w:r>
    </w:p>
    <w:p>
      <w:pPr>
        <w:pStyle w:val="BodyText"/>
        <w:jc w:val="left"/>
        <w:ind w:left="720" w:hanging="720"/>
        <w:spacing w:before="0" w:after="0" w:line="48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Gašević, D., Joksimović, S., Eagan, B. R., &amp; Shaffer, D. W. (2019). SENS: Network analytics to combine social and cognitive perspectives of collaborative learning.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i/>
          <w:iCs/>
          <w:rFonts w:ascii="Times New Roman" w:hAnsi="Times New Roman" w:eastAsia="Times New Roman" w:cs="Times New Roman"/>
          <w:sz w:val="24"/>
          <w:szCs w:val="24"/>
          <w:color w:val="000000"/>
        </w:rPr>
        <w:t xml:space="preserve">Computers in Human Behavior, 92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, 562-577. https://doi.org/10.1016/j.chb.2018.07.003</w:t>
      </w:r>
    </w:p>
    <w:p>
      <w:pPr>
        <w:pStyle w:val="BodyText"/>
        <w:jc w:val="left"/>
        <w:ind w:left="720" w:hanging="720"/>
        <w:spacing w:before="0" w:after="0" w:line="48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Kivelä, M., Arenas, A., Barthelemy, M., Gleeson, J. P., Moreno, Y., &amp; Porter, M. A. (2014). Multilayer networks.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i/>
          <w:iCs/>
          <w:rFonts w:ascii="Times New Roman" w:hAnsi="Times New Roman" w:eastAsia="Times New Roman" w:cs="Times New Roman"/>
          <w:sz w:val="24"/>
          <w:szCs w:val="24"/>
          <w:color w:val="000000"/>
        </w:rPr>
        <w:t xml:space="preserve">Journal of Complex Networks, 2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(3), 203-271. https://doi.org/10.1093/comnet/cnu016</w:t>
      </w:r>
    </w:p>
    <w:p>
      <w:pPr>
        <w:pStyle w:val="BodyText"/>
        <w:jc w:val="left"/>
        <w:ind w:left="720" w:hanging="720"/>
        <w:spacing w:before="0" w:after="0" w:line="48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Ouyang, F., &amp; Dai, X. (2022). A three-layered social-cognitive network analysis framework for examining online collaborative learning.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i/>
          <w:iCs/>
          <w:rFonts w:ascii="Times New Roman" w:hAnsi="Times New Roman" w:eastAsia="Times New Roman" w:cs="Times New Roman"/>
          <w:sz w:val="24"/>
          <w:szCs w:val="24"/>
          <w:color w:val="000000"/>
        </w:rPr>
        <w:t xml:space="preserve">Australasian Journal of Educational Technology, 38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(5), 74-91. https://doi.org/10.14742/ajet.7166</w:t>
      </w:r>
    </w:p>
    <w:p>
      <w:pPr>
        <w:pStyle w:val="BodyText"/>
        <w:jc w:val="left"/>
        <w:ind w:left="720" w:hanging="720"/>
        <w:spacing w:before="0" w:after="0" w:line="48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Pantić, N., Brown, C., Florian, L., &amp; Jääskeläinen, A. (2022). Making sense of teacher agency for change with social and epistemic network analysis.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i/>
          <w:iCs/>
          <w:rFonts w:ascii="Times New Roman" w:hAnsi="Times New Roman" w:eastAsia="Times New Roman" w:cs="Times New Roman"/>
          <w:sz w:val="24"/>
          <w:szCs w:val="24"/>
          <w:color w:val="000000"/>
        </w:rPr>
        <w:t xml:space="preserve">Journal of Educational Change, 23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, 717-739. https://doi.org/10.1007/s10833-021-09413-7</w:t>
      </w:r>
    </w:p>
    <w:p>
      <w:pPr>
        <w:pStyle w:val="BodyText"/>
        <w:jc w:val="left"/>
        <w:ind w:left="720" w:hanging="720"/>
        <w:spacing w:before="0" w:after="0" w:line="48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SENA project repository. (2026).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i/>
          <w:iCs/>
          <w:rFonts w:ascii="Times New Roman" w:hAnsi="Times New Roman" w:eastAsia="Times New Roman" w:cs="Times New Roman"/>
          <w:sz w:val="24"/>
          <w:szCs w:val="24"/>
          <w:color w:val="000000"/>
        </w:rPr>
        <w:t xml:space="preserve">SENA.HK website template, SENA Fusion workspace, and local jENA/sna.js runtime documentation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[Unpublished local source code and project documents].</w:t>
      </w:r>
    </w:p>
    <w:p>
      <w:pPr>
        <w:pStyle w:val="BodyText"/>
        <w:jc w:val="left"/>
        <w:ind w:left="720" w:hanging="720"/>
        <w:spacing w:before="0" w:after="0" w:line="48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Shaffer, D. W., Collier, W., &amp; Ruis, A. R. (2016). A tutorial on epistemic network analysis: Analyzing the structure of connections in cognitive, social, and interaction data.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i/>
          <w:iCs/>
          <w:rFonts w:ascii="Times New Roman" w:hAnsi="Times New Roman" w:eastAsia="Times New Roman" w:cs="Times New Roman"/>
          <w:sz w:val="24"/>
          <w:szCs w:val="24"/>
          <w:color w:val="000000"/>
        </w:rPr>
        <w:t xml:space="preserve">Journal of Learning Analytics, 3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(3), 9-45. https://doi.org/10.18608/jla.2016.33.3</w:t>
      </w:r>
    </w:p>
    <w:p>
      <w:pPr>
        <w:pStyle w:val="BodyText"/>
        <w:jc w:val="left"/>
        <w:ind w:left="720" w:hanging="720"/>
        <w:spacing w:before="0" w:after="0" w:line="48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Siebert-Evenstone, A. L., Irgens, G. A., Collier, W., Swiecki, Z., Ruis, A. R., &amp; Shaffer, D. W. (2017). In search of conversational grain size: Modeling semantic structure using moving stanza windows.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i/>
          <w:iCs/>
          <w:rFonts w:ascii="Times New Roman" w:hAnsi="Times New Roman" w:eastAsia="Times New Roman" w:cs="Times New Roman"/>
          <w:sz w:val="24"/>
          <w:szCs w:val="24"/>
          <w:color w:val="000000"/>
        </w:rPr>
        <w:t xml:space="preserve">Journal of Learning Analytics, 4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(3), 123-139. https://doi.org/10.18608/jla.2017.43.7</w:t>
      </w:r>
    </w:p>
    <w:p>
      <w:pPr>
        <w:pStyle w:val="BodyText"/>
        <w:jc w:val="left"/>
        <w:ind w:left="720" w:hanging="720"/>
        <w:spacing w:before="0" w:after="0" w:line="48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Slade, S., &amp; Prinsloo, P. (2013). Learning analytics: Ethical issues and dilemmas.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i/>
          <w:iCs/>
          <w:rFonts w:ascii="Times New Roman" w:hAnsi="Times New Roman" w:eastAsia="Times New Roman" w:cs="Times New Roman"/>
          <w:sz w:val="24"/>
          <w:szCs w:val="24"/>
          <w:color w:val="000000"/>
        </w:rPr>
        <w:t xml:space="preserve">American Behavioral Scientist, 57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(10), 1510-1529. https://doi.org/10.1177/0002764213479366</w:t>
      </w:r>
    </w:p>
    <w:p>
      <w:pPr>
        <w:pStyle w:val="BodyText"/>
        <w:jc w:val="left"/>
        <w:ind w:left="720" w:hanging="720"/>
        <w:spacing w:before="0" w:after="0" w:line="48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Swiecki, Z., &amp; Shaffer, D. W. (2020). iSENS: An integrated approach to combining epistemic and social network analyses. In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i/>
          <w:iCs/>
          <w:rFonts w:ascii="Times New Roman" w:hAnsi="Times New Roman" w:eastAsia="Times New Roman" w:cs="Times New Roman"/>
          <w:sz w:val="24"/>
          <w:szCs w:val="24"/>
          <w:color w:val="000000"/>
        </w:rPr>
        <w:t xml:space="preserve">Proceedings of the Tenth International Conference on Learning Analytics &amp; Knowledge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(pp. 177-181). ACM. https://doi.org/10.1145/3375462.3375505</w:t>
      </w:r>
    </w:p>
    <w:p>
      <w:pPr>
        <w:pStyle w:val="BodyText"/>
        <w:jc w:val="left"/>
        <w:ind w:left="720" w:hanging="720"/>
        <w:spacing w:before="0" w:after="0" w:line="48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Yan, L., Martinez-Maldonado, R., Zhao, Y., Li, X., &amp; Gašević, D. (2023). SeNA: Modelling socio-spatial analytics on homophily by integrating social and epistemic network analysis. In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i/>
          <w:iCs/>
          <w:rFonts w:ascii="Times New Roman" w:hAnsi="Times New Roman" w:eastAsia="Times New Roman" w:cs="Times New Roman"/>
          <w:sz w:val="24"/>
          <w:szCs w:val="24"/>
          <w:color w:val="000000"/>
        </w:rPr>
        <w:t xml:space="preserve">Proceedings of the 13th International Learning Analytics and Knowledge Conference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(pp. 455-466). ACM. https://doi.org/10.1145/3576050.3576054</w:t>
      </w:r>
    </w:p>
    <w:bookmarkEnd w:id="47"/>
    <w:sectPr>
      <w:headerReference w:type="default" r:id="rId100"/>
      <w:footnotePr>
        <w:numRestart w:val="eachSect"/>
      </w:footnotePr>
      <w:pgSz w:w="12240" w:h="15840"/>
      <w:pgMar w:top="1440" w:right="1440" w:bottom="1440" w:left="1440" w:header="708" w:footer="708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Header"/>
      <w:jc w:val="right"/>
      <w:spacing w:before="0" w:after="0" w:line="480" w:lineRule="auto"/>
    </w:pPr>
    <w:r>
      <w:rPr>
        <w:rFonts w:ascii="Times New Roman" w:hAnsi="Times New Roman" w:eastAsia="Times New Roman" w:cs="Times New Roman"/>
        <w:sz w:val="24"/>
        <w:szCs w:val="24"/>
      </w:rPr>
      <w:fldChar w:fldCharType="begin"/>
    </w:r>
    <w:r>
      <w:rPr>
        <w:rFonts w:ascii="Times New Roman" w:hAnsi="Times New Roman" w:eastAsia="Times New Roman" w:cs="Times New Roman"/>
        <w:sz w:val="24"/>
        <w:szCs w:val="24"/>
      </w:rPr>
      <w:instrText xml:space="preserve"> PAGE </w:instrText>
    </w:r>
    <w:r>
      <w:rPr>
        <w:rFonts w:ascii="Times New Roman" w:hAnsi="Times New Roman" w:eastAsia="Times New Roman" w:cs="Times New Roman"/>
        <w:sz w:val="24"/>
        <w:szCs w:val="24"/>
      </w:rPr>
      <w:fldChar w:fldCharType="separate"/>
    </w:r>
    <w:r>
      <w:rPr>
        <w:rFonts w:ascii="Times New Roman" w:hAnsi="Times New Roman" w:eastAsia="Times New Roman" w:cs="Times New Roman"/>
        <w:sz w:val="24"/>
        <w:szCs w:val="24"/>
      </w:rPr>
      <w:t>1</w:t>
    </w:r>
    <w:r>
      <w:rPr>
        <w:rFonts w:ascii="Times New Roman" w:hAnsi="Times New Roman" w:eastAsia="Times New Roman" w:cs="Times New Roman"/>
        <w:sz w:val="24"/>
        <w:szCs w:val="24"/>
      </w:rPr>
      <w:fldChar w:fldCharType="end"/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Times New Roman" w:cs="Times New Roman"/>
      <w:sz w:val="24"/>
      <w:szCs w:val="24"/>
      <w:color w:val="000000"/>
    </w:rPr>
    <w:pPr>
      <w:jc w:val="left"/>
      <w:spacing w:before="0" w:after="0" w:line="480" w:lineRule="auto"/>
      <w:ind w:firstLine="720"/>
    </w:pPr>
  </w:style>
  <w:style w:styleId="BodyText" w:type="paragraph">
    <w:name w:val="Body Text"/>
    <w:basedOn w:val="Normal"/>
    <w:link w:val="BodyTextChar"/>
    <w:qFormat/>
    <w:pPr>
      <w:spacing w:after="0" w:before="0" w:line="480" w:lineRule="auto"/>
      <w:jc w:val="left"/>
      <w:ind w:firstLine="720"/>
    </w:pPr>
    <w:rPr>
      <w:rFonts w:ascii="Times New Roman" w:hAnsi="Times New Roman" w:eastAsia="Times New Roman" w:cs="Times New Roman"/>
      <w:sz w:val="24"/>
      <w:szCs w:val="24"/>
      <w:color w:val="000000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Times New Roman" w:cs="Times New Roman"/>
      <w:sz w:val="24"/>
      <w:szCs w:val="24"/>
      <w:color w:val="000000"/>
    </w:rPr>
    <w:pPr>
      <w:jc w:val="left"/>
      <w:spacing w:before="0" w:after="0" w:line="480" w:lineRule="auto"/>
      <w:ind w:firstLine="720"/>
    </w:pPr>
  </w:style>
  <w:style w:customStyle="1" w:styleId="Compact" w:type="paragraph">
    <w:name w:val="Compact"/>
    <w:basedOn w:val="BodyText"/>
    <w:qFormat/>
    <w:pPr>
      <w:spacing w:after="0" w:before="0" w:line="480" w:lineRule="auto"/>
      <w:jc w:val="left"/>
      <w:ind/>
    </w:pPr>
    <w:rPr>
      <w:rFonts w:ascii="Times New Roman" w:hAnsi="Times New Roman" w:eastAsia="Times New Roman" w:cs="Times New Roman"/>
      <w:sz w:val="24"/>
      <w:szCs w:val="24"/>
      <w:color w:val="000000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0" w:line="480" w:lineRule="auto" w:before="0"/>
      <w:contextualSpacing/>
      <w:jc w:val="center"/>
      <w:ind/>
    </w:pPr>
    <w:rPr>
      <w:rFonts w:ascii="Times New Roman" w:hAnsi="Times New Roman" w:eastAsia="Times New Roman" w:cs="Times New Roman"/>
      <w:sz w:val="24"/>
      <w:szCs w:val="24"/>
      <w:color w:val="000000"/>
      <w:b/>
      <w:bCs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Times New Roman" w:cs="Times New Roman"/>
      <w:sz w:val="24"/>
      <w:szCs w:val="24"/>
      <w:color w:val="000000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jc w:val="center"/>
      <w:spacing w:before="0" w:after="0" w:line="480" w:lineRule="auto"/>
      <w:ind/>
    </w:pPr>
    <w:rPr>
      <w:rFonts w:ascii="Times New Roman" w:hAnsi="Times New Roman" w:eastAsia="Times New Roman" w:cs="Times New Roman"/>
      <w:spacing w:val="15"/>
      <w:sz w:val="24"/>
      <w:szCs w:val="24"/>
      <w:color w:val="000000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Times New Roman" w:cs="Times New Roman"/>
      <w:color w:themeColor="text1" w:themeTint="A6" w:val="000000"/>
      <w:spacing w:val="15"/>
      <w:sz w:val="24"/>
      <w:szCs w:val="24"/>
    </w:rPr>
  </w:style>
  <w:style w:customStyle="1" w:styleId="Author" w:type="paragraph">
    <w:name w:val="Author"/>
    <w:basedOn w:val="Title"/>
    <w:next w:val="BodyText"/>
    <w:qFormat/>
    <w:pPr>
      <w:keepNext/>
      <w:keepLines/>
      <w:jc w:val="center"/>
      <w:spacing w:before="0" w:after="0" w:line="480" w:lineRule="auto"/>
      <w:ind/>
    </w:pPr>
    <w:rPr>
      <w:sz w:val="24"/>
      <w:szCs w:val="24"/>
      <w:rFonts w:ascii="Times New Roman" w:hAnsi="Times New Roman" w:eastAsia="Times New Roman" w:cs="Times New Roman"/>
      <w:color w:val="000000"/>
    </w:rPr>
  </w:style>
  <w:style w:styleId="Date" w:type="paragraph">
    <w:name w:val="Date"/>
    <w:basedOn w:val="Title"/>
    <w:next w:val="BodyText"/>
    <w:qFormat/>
    <w:pPr>
      <w:keepNext/>
      <w:keepLines/>
      <w:jc w:val="center"/>
      <w:spacing w:before="0" w:after="0" w:line="480" w:lineRule="auto"/>
      <w:ind/>
    </w:pPr>
    <w:rPr>
      <w:sz w:val="24"/>
      <w:szCs w:val="24"/>
      <w:rFonts w:ascii="Times New Roman" w:hAnsi="Times New Roman" w:eastAsia="Times New Roman" w:cs="Times New Roman"/>
      <w:color w:val="000000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0" w:line="480" w:lineRule="auto"/>
      <w:jc w:val="left"/>
      <w:ind/>
    </w:pPr>
    <w:rPr>
      <w:b/>
      <w:sz w:val="24"/>
      <w:szCs w:val="24"/>
      <w:rFonts w:ascii="Times New Roman" w:hAnsi="Times New Roman" w:eastAsia="Times New Roman" w:cs="Times New Roman"/>
      <w:color w:val="00000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0" w:before="0" w:line="480" w:lineRule="auto"/>
      <w:jc w:val="left"/>
      <w:ind/>
    </w:pPr>
    <w:rPr>
      <w:sz w:val="24"/>
      <w:szCs w:val="24"/>
      <w:rFonts w:ascii="Times New Roman" w:hAnsi="Times New Roman" w:eastAsia="Times New Roman" w:cs="Times New Roman"/>
      <w:color w:val="000000"/>
    </w:rPr>
  </w:style>
  <w:style w:styleId="Bibliography" w:type="paragraph">
    <w:name w:val="Bibliography"/>
    <w:basedOn w:val="Normal"/>
    <w:next w:val="Bibliography"/>
    <w:qFormat/>
    <w:pPr>
      <w:jc w:val="left"/>
      <w:spacing w:before="0" w:after="0" w:line="480" w:lineRule="auto"/>
      <w:ind w:left="720" w:hanging="720"/>
    </w:pPr>
    <w:rPr>
      <w:rFonts w:ascii="Times New Roman" w:hAnsi="Times New Roman" w:eastAsia="Times New Roman" w:cs="Times New Roman"/>
      <w:sz w:val="24"/>
      <w:szCs w:val="24"/>
      <w:color w:val="000000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0" w:before="0" w:line="480" w:lineRule="auto"/>
      <w:outlineLvl w:val="0"/>
      <w:jc w:val="center"/>
      <w:ind/>
    </w:pPr>
    <w:rPr>
      <w:rFonts w:ascii="Times New Roman" w:hAnsi="Times New Roman" w:eastAsia="Times New Roman" w:cs="Times New Roman"/>
      <w:color w:themeColor="accent1" w:themeShade="BF" w:val="000000"/>
      <w:sz w:val="24"/>
      <w:szCs w:val="24"/>
      <w:b/>
      <w:bCs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0" w:before="0" w:line="480" w:lineRule="auto"/>
      <w:outlineLvl w:val="1"/>
      <w:jc w:val="center"/>
      <w:ind/>
    </w:pPr>
    <w:rPr>
      <w:rFonts w:ascii="Times New Roman" w:hAnsi="Times New Roman" w:eastAsia="Times New Roman" w:cs="Times New Roman"/>
      <w:color w:themeColor="accent1" w:themeShade="BF" w:val="000000"/>
      <w:sz w:val="24"/>
      <w:szCs w:val="24"/>
      <w:b/>
      <w:bCs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0" w:before="0" w:line="480" w:lineRule="auto"/>
      <w:outlineLvl w:val="2"/>
      <w:jc w:val="left"/>
      <w:ind/>
    </w:pPr>
    <w:rPr>
      <w:rFonts w:ascii="Times New Roman" w:hAnsi="Times New Roman" w:eastAsia="Times New Roman" w:cs="Times New Roman"/>
      <w:color w:themeColor="accent1" w:themeShade="BF" w:val="000000"/>
      <w:sz w:val="24"/>
      <w:szCs w:val="24"/>
      <w:b/>
      <w:bCs/>
      <w:i/>
      <w:iCs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0" w:before="0" w:line="480" w:lineRule="auto"/>
      <w:outlineLvl w:val="3"/>
      <w:jc w:val="left"/>
      <w:ind/>
    </w:pPr>
    <w:rPr>
      <w:rFonts w:ascii="Times New Roman" w:hAnsi="Times New Roman" w:eastAsia="Times New Roman" w:cs="Times New Roman"/>
      <w:i/>
      <w:iCs/>
      <w:color w:themeColor="accent1" w:themeShade="BF" w:val="000000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0" w:before="0" w:line="480" w:lineRule="auto"/>
      <w:outlineLvl w:val="4"/>
      <w:jc w:val="left"/>
      <w:ind/>
    </w:pPr>
    <w:rPr>
      <w:rFonts w:ascii="Times New Roman" w:hAnsi="Times New Roman" w:eastAsia="Times New Roman" w:cs="Times New Roman"/>
      <w:color w:themeColor="accent1" w:themeShade="BF" w:val="000000"/>
      <w:sz w:val="24"/>
      <w:szCs w:val="24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0" w:line="480" w:lineRule="auto"/>
      <w:outlineLvl w:val="5"/>
      <w:jc w:val="left"/>
      <w:ind/>
    </w:pPr>
    <w:rPr>
      <w:rFonts w:ascii="Times New Roman" w:hAnsi="Times New Roman" w:eastAsia="Times New Roman" w:cs="Times New Roman"/>
      <w:i/>
      <w:iCs/>
      <w:color w:themeColor="text1" w:themeTint="A6" w:val="000000"/>
      <w:sz w:val="24"/>
      <w:szCs w:val="24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0" w:line="480" w:lineRule="auto"/>
      <w:outlineLvl w:val="6"/>
      <w:jc w:val="left"/>
      <w:ind/>
    </w:pPr>
    <w:rPr>
      <w:rFonts w:ascii="Times New Roman" w:hAnsi="Times New Roman" w:eastAsia="Times New Roman" w:cs="Times New Roman"/>
      <w:color w:themeColor="text1" w:themeTint="A6" w:val="000000"/>
      <w:sz w:val="24"/>
      <w:szCs w:val="24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 w:before="0" w:line="480" w:lineRule="auto"/>
      <w:outlineLvl w:val="7"/>
      <w:jc w:val="left"/>
      <w:ind/>
    </w:pPr>
    <w:rPr>
      <w:rFonts w:ascii="Times New Roman" w:hAnsi="Times New Roman" w:eastAsia="Times New Roman" w:cs="Times New Roman"/>
      <w:i/>
      <w:iCs/>
      <w:color w:themeColor="text1" w:themeTint="D8" w:val="000000"/>
      <w:sz w:val="24"/>
      <w:szCs w:val="24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 w:before="0" w:line="480" w:lineRule="auto"/>
      <w:outlineLvl w:val="8"/>
      <w:jc w:val="left"/>
      <w:ind/>
    </w:pPr>
    <w:rPr>
      <w:rFonts w:ascii="Times New Roman" w:hAnsi="Times New Roman" w:eastAsia="Times New Roman" w:cs="Times New Roman"/>
      <w:color w:themeColor="text1" w:themeTint="D8" w:val="000000"/>
      <w:sz w:val="24"/>
      <w:szCs w:val="24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Times New Roman" w:cs="Times New Roman"/>
      <w:color w:themeColor="accent1" w:themeShade="BF" w:val="000000"/>
      <w:sz w:val="24"/>
      <w:szCs w:val="24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Times New Roman" w:cs="Times New Roman"/>
      <w:color w:themeColor="accent1" w:themeShade="BF" w:val="000000"/>
      <w:sz w:val="24"/>
      <w:szCs w:val="24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Times New Roman" w:cs="Times New Roman"/>
      <w:color w:themeColor="accent1" w:themeShade="BF" w:val="000000"/>
      <w:sz w:val="24"/>
      <w:szCs w:val="24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Times New Roman" w:cs="Times New Roman"/>
      <w:i/>
      <w:iCs/>
      <w:color w:themeColor="accent1" w:themeShade="BF" w:val="000000"/>
      <w:sz w:val="24"/>
      <w:szCs w:val="24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Times New Roman" w:cs="Times New Roman"/>
      <w:color w:themeColor="accent1" w:themeShade="BF" w:val="000000"/>
      <w:sz w:val="24"/>
      <w:szCs w:val="24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Times New Roman" w:cs="Times New Roman"/>
      <w:i/>
      <w:iCs/>
      <w:color w:themeColor="text1" w:themeTint="A6" w:val="000000"/>
      <w:sz w:val="24"/>
      <w:szCs w:val="24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Times New Roman" w:cs="Times New Roman"/>
      <w:color w:themeColor="text1" w:themeTint="A6" w:val="000000"/>
      <w:sz w:val="24"/>
      <w:szCs w:val="24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Times New Roman" w:cs="Times New Roman"/>
      <w:i/>
      <w:iCs/>
      <w:color w:themeColor="text1" w:themeTint="D8" w:val="000000"/>
      <w:sz w:val="24"/>
      <w:szCs w:val="24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Times New Roman" w:cs="Times New Roman"/>
      <w:color w:themeColor="text1" w:themeTint="D8" w:val="000000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0" w:before="0" w:line="480" w:lineRule="auto"/>
      <w:ind/>
      <w:jc w:val="left"/>
    </w:pPr>
    <w:rPr>
      <w:rFonts w:ascii="Times New Roman" w:hAnsi="Times New Roman" w:eastAsia="Times New Roman" w:cs="Times New Roman"/>
      <w:sz w:val="24"/>
      <w:szCs w:val="24"/>
      <w:color w:val="000000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Times New Roman" w:cs="Times New Roman"/>
      <w:sz w:val="24"/>
      <w:szCs w:val="24"/>
      <w:color w:val="000000"/>
    </w:rPr>
    <w:pPr>
      <w:jc w:val="left"/>
      <w:spacing w:before="0" w:after="0" w:line="480" w:lineRule="auto"/>
      <w:ind/>
    </w:p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0" w:before="0" w:line="480" w:lineRule="auto"/>
      <w:ind/>
      <w:jc w:val="left"/>
    </w:pPr>
    <w:rPr>
      <w:rFonts w:ascii="Times New Roman" w:hAnsi="Times New Roman" w:eastAsia="Times New Roman" w:cs="Times New Roman"/>
      <w:sz w:val="24"/>
      <w:szCs w:val="24"/>
      <w:color w:val="000000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Times New Roman" w:cs="Times New Roman"/>
      <w:sz w:val="24"/>
      <w:szCs w:val="24"/>
      <w:color w:val="000000"/>
    </w:r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  <w:rPr>
      <w:rFonts w:ascii="Times New Roman" w:hAnsi="Times New Roman" w:eastAsia="Times New Roman" w:cs="Times New Roman"/>
      <w:sz w:val="24"/>
      <w:szCs w:val="24"/>
      <w:color w:val="000000"/>
    </w:rPr>
  </w:style>
  <w:style w:customStyle="1" w:styleId="DefinitionTerm" w:type="paragraph">
    <w:name w:val="Definition Term"/>
    <w:basedOn w:val="Normal"/>
    <w:next w:val="Definition"/>
    <w:pPr>
      <w:keepNext/>
      <w:keepLines/>
      <w:spacing w:after="0" w:before="0" w:line="480" w:lineRule="auto"/>
      <w:jc w:val="left"/>
      <w:ind/>
    </w:pPr>
    <w:rPr>
      <w:b/>
      <w:rFonts w:ascii="Times New Roman" w:hAnsi="Times New Roman" w:eastAsia="Times New Roman" w:cs="Times New Roman"/>
      <w:sz w:val="24"/>
      <w:szCs w:val="24"/>
      <w:color w:val="000000"/>
    </w:rPr>
  </w:style>
  <w:style w:customStyle="1" w:styleId="Definition" w:type="paragraph">
    <w:name w:val="Definition"/>
    <w:basedOn w:val="Normal"/>
    <w:rPr>
      <w:rFonts w:ascii="Times New Roman" w:hAnsi="Times New Roman" w:eastAsia="Times New Roman" w:cs="Times New Roman"/>
      <w:sz w:val="24"/>
      <w:szCs w:val="24"/>
      <w:color w:val="000000"/>
    </w:rPr>
    <w:pPr>
      <w:jc w:val="left"/>
      <w:spacing w:before="0" w:after="0" w:line="480" w:lineRule="auto"/>
      <w:ind/>
    </w:pPr>
  </w:style>
  <w:style w:styleId="Caption" w:type="paragraph">
    <w:name w:val="Caption"/>
    <w:basedOn w:val="Normal"/>
    <w:link w:val="BodyTextChar"/>
    <w:pPr>
      <w:spacing w:after="0" w:before="0" w:line="480" w:lineRule="auto"/>
      <w:jc w:val="left"/>
      <w:ind/>
    </w:pPr>
    <w:rPr>
      <w:i/>
      <w:rFonts w:ascii="Times New Roman" w:hAnsi="Times New Roman" w:eastAsia="Times New Roman" w:cs="Times New Roman"/>
      <w:sz w:val="24"/>
      <w:szCs w:val="24"/>
      <w:color w:val="000000"/>
    </w:rPr>
  </w:style>
  <w:style w:customStyle="1" w:styleId="TableCaption" w:type="paragraph">
    <w:name w:val="Table Caption"/>
    <w:basedOn w:val="Caption"/>
    <w:pPr>
      <w:keepNext/>
      <w:jc w:val="left"/>
      <w:spacing w:before="0" w:after="0" w:line="480" w:lineRule="auto"/>
      <w:ind/>
    </w:pPr>
    <w:rPr>
      <w:rFonts w:ascii="Times New Roman" w:hAnsi="Times New Roman" w:eastAsia="Times New Roman" w:cs="Times New Roman"/>
      <w:sz w:val="24"/>
      <w:szCs w:val="24"/>
      <w:color w:val="000000"/>
    </w:rPr>
  </w:style>
  <w:style w:customStyle="1" w:styleId="ImageCaption" w:type="paragraph">
    <w:name w:val="Image Caption"/>
    <w:basedOn w:val="Caption"/>
    <w:rPr>
      <w:rFonts w:ascii="Times New Roman" w:hAnsi="Times New Roman" w:eastAsia="Times New Roman" w:cs="Times New Roman"/>
      <w:sz w:val="24"/>
      <w:szCs w:val="24"/>
      <w:color w:val="000000"/>
    </w:rPr>
    <w:pPr>
      <w:jc w:val="left"/>
      <w:spacing w:before="0" w:after="0" w:line="480" w:lineRule="auto"/>
      <w:ind/>
    </w:pPr>
  </w:style>
  <w:style w:customStyle="1" w:styleId="Figure" w:type="paragraph">
    <w:name w:val="Figure"/>
    <w:basedOn w:val="Normal"/>
    <w:rPr>
      <w:rFonts w:ascii="Times New Roman" w:hAnsi="Times New Roman" w:eastAsia="Times New Roman" w:cs="Times New Roman"/>
      <w:sz w:val="24"/>
      <w:szCs w:val="24"/>
      <w:color w:val="000000"/>
    </w:rPr>
    <w:pPr>
      <w:jc w:val="left"/>
      <w:spacing w:before="0" w:after="0" w:line="480" w:lineRule="auto"/>
      <w:ind/>
    </w:pPr>
  </w:style>
  <w:style w:customStyle="1" w:styleId="CaptionedFigure" w:type="paragraph">
    <w:name w:val="Captioned Figure"/>
    <w:basedOn w:val="Figure"/>
    <w:pPr>
      <w:keepNext/>
      <w:jc w:val="left"/>
      <w:spacing w:before="0" w:after="0" w:line="480" w:lineRule="auto"/>
      <w:ind/>
    </w:pPr>
    <w:rPr>
      <w:rFonts w:ascii="Times New Roman" w:hAnsi="Times New Roman" w:eastAsia="Times New Roman" w:cs="Times New Roman"/>
      <w:sz w:val="24"/>
      <w:szCs w:val="24"/>
      <w:color w:val="000000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Times New Roman" w:cs="Times New Roman"/>
      <w:sz w:val="24"/>
      <w:szCs w:val="24"/>
      <w:color w:val="000000"/>
    </w:rPr>
  </w:style>
  <w:style w:customStyle="1" w:styleId="VerbatimChar" w:type="character">
    <w:name w:val="Verbatim Char"/>
    <w:basedOn w:val="BodyTextChar"/>
    <w:rPr>
      <w:rFonts w:ascii="Times New Roman" w:hAnsi="Times New Roman" w:eastAsia="Times New Roman" w:cs="Times New Roman"/>
      <w:sz w:val="24"/>
      <w:szCs w:val="24"/>
      <w:color w:val="000000"/>
    </w:rPr>
  </w:style>
  <w:style w:customStyle="1" w:styleId="SectionNumber" w:type="character">
    <w:name w:val="Section Number"/>
    <w:basedOn w:val="BodyTextChar"/>
    <w:rPr>
      <w:rFonts w:ascii="Times New Roman" w:hAnsi="Times New Roman" w:eastAsia="Times New Roman" w:cs="Times New Roman"/>
      <w:sz w:val="24"/>
      <w:szCs w:val="24"/>
      <w:color w:val="000000"/>
    </w:rPr>
  </w:style>
  <w:style w:styleId="FootnoteReference" w:type="character">
    <w:name w:val="Footnote Reference"/>
    <w:basedOn w:val="BodyTextChar"/>
    <w:rPr>
      <w:vertAlign w:val="superscript"/>
      <w:rFonts w:ascii="Times New Roman" w:hAnsi="Times New Roman" w:eastAsia="Times New Roman" w:cs="Times New Roman"/>
      <w:sz w:val="24"/>
      <w:szCs w:val="24"/>
      <w:color w:val="000000"/>
    </w:rPr>
  </w:style>
  <w:style w:styleId="Hyperlink" w:type="character">
    <w:name w:val="Hyperlink"/>
    <w:basedOn w:val="BodyTextChar"/>
    <w:rPr>
      <w:color w:themeColor="accent1" w:val="000000"/>
      <w:rFonts w:ascii="Times New Roman" w:hAnsi="Times New Roman" w:eastAsia="Times New Roman" w:cs="Times New Roman"/>
      <w:sz w:val="24"/>
      <w:szCs w:val="2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0" w:line="480" w:lineRule="auto" w:after="0"/>
      <w:outlineLvl w:val="9"/>
      <w:jc w:val="left"/>
      <w:ind/>
    </w:pPr>
    <w:rPr>
      <w:rFonts w:ascii="Times New Roman" w:hAnsi="Times New Roman" w:eastAsia="Times New Roman" w:cs="Times New Roman"/>
      <w:b w:val="0"/>
      <w:bCs w:val="0"/>
      <w:color w:themeColor="accent1" w:themeShade="BF" w:val="000000"/>
      <w:sz w:val="24"/>
      <w:szCs w:val="24"/>
    </w:rPr>
  </w:style>
  <w:style w:type="paragraph" w:customStyle="1" w:styleId="SourceCode">
    <w:name w:val="Source Code"/>
    <w:basedOn w:val="Normal"/>
    <w:link w:val="VerbatimChar"/>
    <w:pPr>
      <w:wordWrap w:val="off"/>
      <w:jc w:val="left"/>
      <w:spacing w:before="0" w:after="0" w:line="480" w:lineRule="auto"/>
      <w:ind/>
    </w:pPr>
    <w:rPr>
      <w:rFonts w:ascii="Times New Roman" w:hAnsi="Times New Roman" w:eastAsia="Times New Roman" w:cs="Times New Roman"/>
      <w:sz w:val="24"/>
      <w:szCs w:val="24"/>
      <w:color w:val="000000"/>
    </w:rPr>
  </w:style>
  <w:style w:type="character" w:customStyle="1" w:styleId="KeywordTok">
    <w:name w:val="KeywordTok"/>
    <w:basedOn w:val="VerbatimChar"/>
    <w:rPr>
      <w:b/>
      <w:color w:val="000000"/>
      <w:rFonts w:ascii="Times New Roman" w:hAnsi="Times New Roman" w:eastAsia="Times New Roman" w:cs="Times New Roman"/>
      <w:sz w:val="24"/>
      <w:szCs w:val="24"/>
    </w:rPr>
  </w:style>
  <w:style w:type="character" w:customStyle="1" w:styleId="DataTypeTok">
    <w:name w:val="DataTypeTok"/>
    <w:basedOn w:val="VerbatimChar"/>
    <w:rPr>
      <w:color w:val="000000"/>
      <w:rFonts w:ascii="Times New Roman" w:hAnsi="Times New Roman" w:eastAsia="Times New Roman" w:cs="Times New Roman"/>
      <w:sz w:val="24"/>
      <w:szCs w:val="24"/>
    </w:rPr>
  </w:style>
  <w:style w:type="character" w:customStyle="1" w:styleId="DecValTok">
    <w:name w:val="DecValTok"/>
    <w:basedOn w:val="VerbatimChar"/>
    <w:rPr>
      <w:color w:val="000000"/>
      <w:rFonts w:ascii="Times New Roman" w:hAnsi="Times New Roman" w:eastAsia="Times New Roman" w:cs="Times New Roman"/>
      <w:sz w:val="24"/>
      <w:szCs w:val="24"/>
    </w:rPr>
  </w:style>
  <w:style w:type="character" w:customStyle="1" w:styleId="BaseNTok">
    <w:name w:val="BaseNTok"/>
    <w:basedOn w:val="VerbatimChar"/>
    <w:rPr>
      <w:color w:val="000000"/>
      <w:rFonts w:ascii="Times New Roman" w:hAnsi="Times New Roman" w:eastAsia="Times New Roman" w:cs="Times New Roman"/>
      <w:sz w:val="24"/>
      <w:szCs w:val="24"/>
    </w:rPr>
  </w:style>
  <w:style w:type="character" w:customStyle="1" w:styleId="FloatTok">
    <w:name w:val="FloatTok"/>
    <w:basedOn w:val="VerbatimChar"/>
    <w:rPr>
      <w:color w:val="000000"/>
      <w:rFonts w:ascii="Times New Roman" w:hAnsi="Times New Roman" w:eastAsia="Times New Roman" w:cs="Times New Roman"/>
      <w:sz w:val="24"/>
      <w:szCs w:val="24"/>
    </w:rPr>
  </w:style>
  <w:style w:type="character" w:customStyle="1" w:styleId="ConstantTok">
    <w:name w:val="ConstantTok"/>
    <w:basedOn w:val="VerbatimChar"/>
    <w:rPr>
      <w:color w:val="000000"/>
      <w:rFonts w:ascii="Times New Roman" w:hAnsi="Times New Roman" w:eastAsia="Times New Roman" w:cs="Times New Roman"/>
      <w:sz w:val="24"/>
      <w:szCs w:val="24"/>
    </w:rPr>
  </w:style>
  <w:style w:type="character" w:customStyle="1" w:styleId="CharTok">
    <w:name w:val="CharTok"/>
    <w:basedOn w:val="VerbatimChar"/>
    <w:rPr>
      <w:color w:val="000000"/>
      <w:rFonts w:ascii="Times New Roman" w:hAnsi="Times New Roman" w:eastAsia="Times New Roman" w:cs="Times New Roman"/>
      <w:sz w:val="24"/>
      <w:szCs w:val="24"/>
    </w:rPr>
  </w:style>
  <w:style w:type="character" w:customStyle="1" w:styleId="SpecialCharTok">
    <w:name w:val="SpecialCharTok"/>
    <w:basedOn w:val="VerbatimChar"/>
    <w:rPr>
      <w:color w:val="000000"/>
      <w:rFonts w:ascii="Times New Roman" w:hAnsi="Times New Roman" w:eastAsia="Times New Roman" w:cs="Times New Roman"/>
      <w:sz w:val="24"/>
      <w:szCs w:val="24"/>
    </w:rPr>
  </w:style>
  <w:style w:type="character" w:customStyle="1" w:styleId="StringTok">
    <w:name w:val="StringTok"/>
    <w:basedOn w:val="VerbatimChar"/>
    <w:rPr>
      <w:color w:val="000000"/>
      <w:rFonts w:ascii="Times New Roman" w:hAnsi="Times New Roman" w:eastAsia="Times New Roman" w:cs="Times New Roman"/>
      <w:sz w:val="24"/>
      <w:szCs w:val="24"/>
    </w:rPr>
  </w:style>
  <w:style w:type="character" w:customStyle="1" w:styleId="VerbatimStringTok">
    <w:name w:val="VerbatimStringTok"/>
    <w:basedOn w:val="VerbatimChar"/>
    <w:rPr>
      <w:color w:val="000000"/>
      <w:rFonts w:ascii="Times New Roman" w:hAnsi="Times New Roman" w:eastAsia="Times New Roman" w:cs="Times New Roman"/>
      <w:sz w:val="24"/>
      <w:szCs w:val="24"/>
    </w:rPr>
  </w:style>
  <w:style w:type="character" w:customStyle="1" w:styleId="SpecialStringTok">
    <w:name w:val="SpecialStringTok"/>
    <w:basedOn w:val="VerbatimChar"/>
    <w:rPr>
      <w:color w:val="000000"/>
      <w:rFonts w:ascii="Times New Roman" w:hAnsi="Times New Roman" w:eastAsia="Times New Roman" w:cs="Times New Roman"/>
      <w:sz w:val="24"/>
      <w:szCs w:val="24"/>
    </w:rPr>
  </w:style>
  <w:style w:type="character" w:customStyle="1" w:styleId="ImportTok">
    <w:name w:val="ImportTok"/>
    <w:basedOn w:val="VerbatimChar"/>
    <w:rPr>
      <w:b/>
      <w:color w:val="000000"/>
      <w:rFonts w:ascii="Times New Roman" w:hAnsi="Times New Roman" w:eastAsia="Times New Roman" w:cs="Times New Roman"/>
      <w:sz w:val="24"/>
      <w:szCs w:val="24"/>
    </w:rPr>
  </w:style>
  <w:style w:type="character" w:customStyle="1" w:styleId="CommentTok">
    <w:name w:val="CommentTok"/>
    <w:basedOn w:val="VerbatimChar"/>
    <w:rPr>
      <w:i/>
      <w:color w:val="000000"/>
      <w:rFonts w:ascii="Times New Roman" w:hAnsi="Times New Roman" w:eastAsia="Times New Roman" w:cs="Times New Roman"/>
      <w:sz w:val="24"/>
      <w:szCs w:val="24"/>
    </w:rPr>
  </w:style>
  <w:style w:type="character" w:customStyle="1" w:styleId="DocumentationTok">
    <w:name w:val="DocumentationTok"/>
    <w:basedOn w:val="VerbatimChar"/>
    <w:rPr>
      <w:i/>
      <w:color w:val="000000"/>
      <w:rFonts w:ascii="Times New Roman" w:hAnsi="Times New Roman" w:eastAsia="Times New Roman" w:cs="Times New Roman"/>
      <w:sz w:val="24"/>
      <w:szCs w:val="24"/>
    </w:rPr>
  </w:style>
  <w:style w:type="character" w:customStyle="1" w:styleId="AnnotationTok">
    <w:name w:val="AnnotationTok"/>
    <w:basedOn w:val="VerbatimChar"/>
    <w:rPr>
      <w:b/>
      <w:i/>
      <w:color w:val="000000"/>
      <w:rFonts w:ascii="Times New Roman" w:hAnsi="Times New Roman" w:eastAsia="Times New Roman" w:cs="Times New Roman"/>
      <w:sz w:val="24"/>
      <w:szCs w:val="24"/>
    </w:rPr>
  </w:style>
  <w:style w:type="character" w:customStyle="1" w:styleId="CommentVarTok">
    <w:name w:val="CommentVarTok"/>
    <w:basedOn w:val="VerbatimChar"/>
    <w:rPr>
      <w:b/>
      <w:i/>
      <w:color w:val="000000"/>
      <w:rFonts w:ascii="Times New Roman" w:hAnsi="Times New Roman" w:eastAsia="Times New Roman" w:cs="Times New Roman"/>
      <w:sz w:val="24"/>
      <w:szCs w:val="24"/>
    </w:rPr>
  </w:style>
  <w:style w:type="character" w:customStyle="1" w:styleId="OtherTok">
    <w:name w:val="OtherTok"/>
    <w:basedOn w:val="VerbatimChar"/>
    <w:rPr>
      <w:color w:val="000000"/>
      <w:rFonts w:ascii="Times New Roman" w:hAnsi="Times New Roman" w:eastAsia="Times New Roman" w:cs="Times New Roman"/>
      <w:sz w:val="24"/>
      <w:szCs w:val="24"/>
    </w:rPr>
  </w:style>
  <w:style w:type="character" w:customStyle="1" w:styleId="FunctionTok">
    <w:name w:val="FunctionTok"/>
    <w:basedOn w:val="VerbatimChar"/>
    <w:rPr>
      <w:color w:val="000000"/>
      <w:rFonts w:ascii="Times New Roman" w:hAnsi="Times New Roman" w:eastAsia="Times New Roman" w:cs="Times New Roman"/>
      <w:sz w:val="24"/>
      <w:szCs w:val="24"/>
    </w:rPr>
  </w:style>
  <w:style w:type="character" w:customStyle="1" w:styleId="VariableTok">
    <w:name w:val="VariableTok"/>
    <w:basedOn w:val="VerbatimChar"/>
    <w:rPr>
      <w:color w:val="000000"/>
      <w:rFonts w:ascii="Times New Roman" w:hAnsi="Times New Roman" w:eastAsia="Times New Roman" w:cs="Times New Roman"/>
      <w:sz w:val="24"/>
      <w:szCs w:val="24"/>
    </w:rPr>
  </w:style>
  <w:style w:type="character" w:customStyle="1" w:styleId="ControlFlowTok">
    <w:name w:val="ControlFlowTok"/>
    <w:basedOn w:val="VerbatimChar"/>
    <w:rPr>
      <w:b/>
      <w:color w:val="000000"/>
      <w:rFonts w:ascii="Times New Roman" w:hAnsi="Times New Roman" w:eastAsia="Times New Roman" w:cs="Times New Roman"/>
      <w:sz w:val="24"/>
      <w:szCs w:val="24"/>
    </w:rPr>
  </w:style>
  <w:style w:type="character" w:customStyle="1" w:styleId="OperatorTok">
    <w:name w:val="OperatorTok"/>
    <w:basedOn w:val="VerbatimChar"/>
    <w:rPr>
      <w:color w:val="000000"/>
      <w:rFonts w:ascii="Times New Roman" w:hAnsi="Times New Roman" w:eastAsia="Times New Roman" w:cs="Times New Roman"/>
      <w:sz w:val="24"/>
      <w:szCs w:val="24"/>
    </w:rPr>
  </w:style>
  <w:style w:type="character" w:customStyle="1" w:styleId="BuiltInTok">
    <w:name w:val="BuiltInTok"/>
    <w:basedOn w:val="VerbatimChar"/>
    <w:rPr>
      <w:color w:val="000000"/>
      <w:rFonts w:ascii="Times New Roman" w:hAnsi="Times New Roman" w:eastAsia="Times New Roman" w:cs="Times New Roman"/>
      <w:sz w:val="24"/>
      <w:szCs w:val="24"/>
    </w:rPr>
  </w:style>
  <w:style w:type="character" w:customStyle="1" w:styleId="ExtensionTok">
    <w:name w:val="ExtensionTok"/>
    <w:basedOn w:val="VerbatimChar"/>
    <w:rPr>
      <w:rFonts w:ascii="Times New Roman" w:hAnsi="Times New Roman" w:eastAsia="Times New Roman" w:cs="Times New Roman"/>
      <w:sz w:val="24"/>
      <w:szCs w:val="24"/>
      <w:color w:val="000000"/>
    </w:rPr>
  </w:style>
  <w:style w:type="character" w:customStyle="1" w:styleId="PreprocessorTok">
    <w:name w:val="PreprocessorTok"/>
    <w:basedOn w:val="VerbatimChar"/>
    <w:rPr>
      <w:color w:val="000000"/>
      <w:rFonts w:ascii="Times New Roman" w:hAnsi="Times New Roman" w:eastAsia="Times New Roman" w:cs="Times New Roman"/>
      <w:sz w:val="24"/>
      <w:szCs w:val="24"/>
    </w:rPr>
  </w:style>
  <w:style w:type="character" w:customStyle="1" w:styleId="AttributeTok">
    <w:name w:val="AttributeTok"/>
    <w:basedOn w:val="VerbatimChar"/>
    <w:rPr>
      <w:color w:val="000000"/>
      <w:rFonts w:ascii="Times New Roman" w:hAnsi="Times New Roman" w:eastAsia="Times New Roman" w:cs="Times New Roman"/>
      <w:sz w:val="24"/>
      <w:szCs w:val="24"/>
    </w:rPr>
  </w:style>
  <w:style w:type="character" w:customStyle="1" w:styleId="RegionMarkerTok">
    <w:name w:val="RegionMarkerTok"/>
    <w:basedOn w:val="VerbatimChar"/>
    <w:rPr>
      <w:rFonts w:ascii="Times New Roman" w:hAnsi="Times New Roman" w:eastAsia="Times New Roman" w:cs="Times New Roman"/>
      <w:sz w:val="24"/>
      <w:szCs w:val="24"/>
      <w:color w:val="000000"/>
    </w:rPr>
  </w:style>
  <w:style w:type="character" w:customStyle="1" w:styleId="InformationTok">
    <w:name w:val="InformationTok"/>
    <w:basedOn w:val="VerbatimChar"/>
    <w:rPr>
      <w:b/>
      <w:i/>
      <w:color w:val="000000"/>
      <w:rFonts w:ascii="Times New Roman" w:hAnsi="Times New Roman" w:eastAsia="Times New Roman" w:cs="Times New Roman"/>
      <w:sz w:val="24"/>
      <w:szCs w:val="24"/>
    </w:rPr>
  </w:style>
  <w:style w:type="character" w:customStyle="1" w:styleId="WarningTok">
    <w:name w:val="WarningTok"/>
    <w:basedOn w:val="VerbatimChar"/>
    <w:rPr>
      <w:b/>
      <w:i/>
      <w:color w:val="000000"/>
      <w:rFonts w:ascii="Times New Roman" w:hAnsi="Times New Roman" w:eastAsia="Times New Roman" w:cs="Times New Roman"/>
      <w:sz w:val="24"/>
      <w:szCs w:val="24"/>
    </w:rPr>
  </w:style>
  <w:style w:type="character" w:customStyle="1" w:styleId="AlertTok">
    <w:name w:val="AlertTok"/>
    <w:basedOn w:val="VerbatimChar"/>
    <w:rPr>
      <w:b/>
      <w:color w:val="000000"/>
      <w:rFonts w:ascii="Times New Roman" w:hAnsi="Times New Roman" w:eastAsia="Times New Roman" w:cs="Times New Roman"/>
      <w:sz w:val="24"/>
      <w:szCs w:val="24"/>
    </w:rPr>
  </w:style>
  <w:style w:type="character" w:customStyle="1" w:styleId="ErrorTok">
    <w:name w:val="ErrorTok"/>
    <w:basedOn w:val="VerbatimChar"/>
    <w:rPr>
      <w:b/>
      <w:color w:val="000000"/>
      <w:rFonts w:ascii="Times New Roman" w:hAnsi="Times New Roman" w:eastAsia="Times New Roman" w:cs="Times New Roman"/>
      <w:sz w:val="24"/>
      <w:szCs w:val="24"/>
    </w:rPr>
  </w:style>
  <w:style w:type="character" w:customStyle="1" w:styleId="NormalTok">
    <w:name w:val="NormalTok"/>
    <w:basedOn w:val="VerbatimChar"/>
    <w:rPr>
      <w:rFonts w:ascii="Times New Roman" w:hAnsi="Times New Roman" w:eastAsia="Times New Roman" w:cs="Times New Roman"/>
      <w:sz w:val="24"/>
      <w:szCs w:val="24"/>
      <w:color w:val="00000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6" Target="media/rId16.png" /><Relationship Type="http://schemas.openxmlformats.org/officeDocument/2006/relationships/image" Id="rId23" Target="media/rId23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Id="rId100" Type="http://schemas.openxmlformats.org/officeDocument/2006/relationships/header" Target="header1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SENA 项目开发计划</dc:title>
  <dc:creator>Codex automation review for SENA.HK</dc:creator>
  <cp:keywords/>
  <dcterms:created xsi:type="dcterms:W3CDTF">2026-06-08T04:19:02Z</dcterms:created>
  <dcterms:modified xsi:type="dcterms:W3CDTF">2026-06-08T04:19:02Z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2026-06-08</vt:lpwstr>
  </property>
  <property fmtid="{D5CDD505-2E9C-101B-9397-08002B2CF9AE}" pid="3" name="subtitle">
    <vt:lpwstr>面向 www.sena.hk 网站与当前 SENA 代码库</vt:lpwstr>
  </property>
</Properties>
</file>