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line="312" w:lineRule="auto"/>
        <w:jc w:val="center"/>
      </w:pPr>
      <w:r>
        <w:rPr>
          <w:rFonts w:ascii="Times New Roman" w:hAnsi="Times New Roman"/>
          <w:b/>
          <w:color w:val="000000"/>
          <w:sz w:val="26"/>
        </w:rPr>
        <w:t>NATIONAL UNIVERSITY OF SINGAPORE</w:t>
      </w:r>
    </w:p>
    <w:p>
      <w:pPr>
        <w:spacing w:before="0" w:after="160" w:line="312" w:lineRule="auto"/>
        <w:jc w:val="center"/>
      </w:pPr>
      <w:r>
        <w:rPr>
          <w:rFonts w:ascii="Times New Roman" w:hAnsi="Times New Roman"/>
          <w:b w:val="0"/>
          <w:color w:val="000000"/>
          <w:sz w:val="24"/>
        </w:rPr>
        <w:t>Institute of Systems Science</w:t>
      </w:r>
    </w:p>
    <w:p>
      <w:pPr>
        <w:spacing w:before="0" w:after="120" w:line="312" w:lineRule="auto"/>
        <w:jc w:val="center"/>
      </w:pPr>
      <w:r>
        <w:rPr>
          <w:rFonts w:ascii="Times New Roman" w:hAnsi="Times New Roman"/>
          <w:b w:val="0"/>
          <w:color w:val="000000"/>
          <w:sz w:val="24"/>
        </w:rPr>
        <w:t>Certificate in Intelligent Reasoning Systems</w:t>
      </w:r>
    </w:p>
    <w:p>
      <w:pPr>
        <w:spacing w:before="0" w:after="160" w:line="312" w:lineRule="auto"/>
        <w:jc w:val="center"/>
      </w:pPr>
      <w:r>
        <w:rPr>
          <w:rFonts w:ascii="Times New Roman" w:hAnsi="Times New Roman"/>
          <w:b w:val="0"/>
          <w:color w:val="000000"/>
          <w:sz w:val="24"/>
        </w:rPr>
        <w:t>Practice Module</w:t>
      </w:r>
    </w:p>
    <w:p>
      <w:pPr>
        <w:pStyle w:val="Title"/>
        <w:spacing w:before="1080" w:after="280" w:line="312" w:lineRule="auto"/>
        <w:jc w:val="center"/>
      </w:pPr>
      <w:r>
        <w:rPr>
          <w:rFonts w:ascii="Times New Roman" w:hAnsi="Times New Roman"/>
          <w:b/>
          <w:color w:val="000000"/>
          <w:sz w:val="48"/>
        </w:rPr>
        <w:t>RoadGuard</w:t>
      </w:r>
    </w:p>
    <w:p>
      <w:pPr>
        <w:spacing w:before="0" w:after="400" w:line="312" w:lineRule="auto"/>
        <w:jc w:val="center"/>
      </w:pPr>
      <w:r>
        <w:rPr>
          <w:rFonts w:ascii="Times New Roman" w:hAnsi="Times New Roman"/>
          <w:b/>
          <w:color w:val="000000"/>
          <w:sz w:val="32"/>
        </w:rPr>
        <w:t>Road Damage Detection and Maintenance</w:t>
        <w:br/>
        <w:t>Scheduling in Jurong</w:t>
      </w:r>
    </w:p>
    <w:p>
      <w:pPr>
        <w:spacing w:before="120" w:after="840" w:line="312" w:lineRule="auto"/>
        <w:jc w:val="center"/>
      </w:pPr>
      <w:r>
        <w:rPr>
          <w:rFonts w:ascii="Times New Roman" w:hAnsi="Times New Roman"/>
          <w:b w:val="0"/>
          <w:color w:val="000000"/>
          <w:sz w:val="28"/>
        </w:rPr>
        <w:t>Final Project Report</w:t>
      </w:r>
    </w:p>
    <w:p>
      <w:pPr>
        <w:spacing w:before="0" w:after="240" w:line="312" w:lineRule="auto"/>
        <w:jc w:val="center"/>
      </w:pPr>
      <w:r>
        <w:rPr>
          <w:rFonts w:ascii="Times New Roman" w:hAnsi="Times New Roman"/>
          <w:b w:val="0"/>
          <w:color w:val="000000"/>
          <w:sz w:val="24"/>
        </w:rPr>
        <w:t>Submitted by</w:t>
      </w:r>
    </w:p>
    <w:p>
      <w:pPr>
        <w:spacing w:before="0" w:after="160" w:line="312" w:lineRule="auto"/>
        <w:jc w:val="center"/>
      </w:pPr>
      <w:r>
        <w:rPr>
          <w:rFonts w:ascii="Times New Roman" w:hAnsi="Times New Roman"/>
          <w:b w:val="0"/>
          <w:color w:val="000000"/>
          <w:sz w:val="24"/>
        </w:rPr>
        <w:t>Hu Erji   A0305480L</w:t>
      </w:r>
    </w:p>
    <w:p>
      <w:pPr>
        <w:spacing w:before="0" w:after="160" w:line="312" w:lineRule="auto"/>
        <w:jc w:val="center"/>
      </w:pPr>
      <w:r>
        <w:rPr>
          <w:rFonts w:ascii="Times New Roman" w:hAnsi="Times New Roman"/>
          <w:b w:val="0"/>
          <w:color w:val="000000"/>
          <w:sz w:val="24"/>
        </w:rPr>
        <w:t>Yan GuanTing   A0305485B</w:t>
      </w:r>
    </w:p>
    <w:p>
      <w:pPr>
        <w:spacing w:before="0" w:after="160" w:line="312" w:lineRule="auto"/>
        <w:jc w:val="center"/>
      </w:pPr>
      <w:r>
        <w:rPr>
          <w:rFonts w:ascii="Times New Roman" w:hAnsi="Times New Roman"/>
          <w:b w:val="0"/>
          <w:color w:val="000000"/>
          <w:sz w:val="24"/>
        </w:rPr>
        <w:t>Wu TaoYi   A0356972M</w:t>
      </w:r>
    </w:p>
    <w:p>
      <w:pPr>
        <w:spacing w:before="680" w:after="160" w:line="312" w:lineRule="auto"/>
        <w:jc w:val="center"/>
      </w:pPr>
      <w:r>
        <w:rPr>
          <w:rFonts w:ascii="Times New Roman" w:hAnsi="Times New Roman"/>
          <w:b w:val="0"/>
          <w:color w:val="000000"/>
          <w:sz w:val="24"/>
        </w:rPr>
        <w:t>AIS08FT  ·  Group 7</w:t>
      </w:r>
    </w:p>
    <w:p>
      <w:pPr>
        <w:spacing w:before="200" w:after="160" w:line="312" w:lineRule="auto"/>
        <w:jc w:val="center"/>
      </w:pPr>
      <w:r>
        <w:rPr>
          <w:rFonts w:ascii="Times New Roman" w:hAnsi="Times New Roman"/>
          <w:b w:val="0"/>
          <w:color w:val="000000"/>
          <w:sz w:val="24"/>
        </w:rPr>
        <w:t>19 October 2026</w:t>
      </w:r>
    </w:p>
    <w:p>
      <w:pPr>
        <w:sectPr>
          <w:headerReference w:type="default" r:id="rId28"/>
          <w:footerReference w:type="default" r:id="rId29"/>
          <w:pgSz w:w="12240" w:h="15840"/>
          <w:pgMar w:top="1296" w:bottom="1296" w:left="1440" w:right="1440" w:header="576" w:footer="576"/>
        </w:sectPr>
      </w:pPr>
    </w:p>
    <w:p>
      <w:pPr>
        <w:pStyle w:val="Heading1"/>
        <w:pageBreakBefore w:val="0"/>
        <w:jc w:val="center"/>
      </w:pPr>
      <w:bookmarkStart w:id="2000" w:name="_RGI_1"/>
      <w:r>
        <w:t>Abstract</w:t>
      </w:r>
      <w:bookmarkEnd w:id="2000"/>
    </w:p>
    <w:p>
      <w:r>
        <w:t>RoadGuard integrates road-damage detection, rule-based decisions and maintenance scheduling for four crews in Jurong East and Jurong West. Inspectors upload geolocated images, a local YOLO11s model selects one primary damage observation, and a confidence policy either creates a repair task or requests human review. A genetic algorithm and a Greedy baseline then allocate accepted work from a common NUS-ISS dispatch origin. A shared web application supports inspectors, dispatchers and crew accounts, with persistent task history and revision checks.</w:t>
      </w:r>
    </w:p>
    <w:p>
      <w:pPr/>
      <w:r>
        <w:t>Evaluation combines visual-recognition experiments, twelve routing scenarios and integrated workflow tests. Model and inference refinements improved recognition, but reliable damage typing and independent local validation remain unresolved. Greedy-seeded search improved the scheduling result in all 120 default-budget runs, with scenario-mean objective reductions of 0.73–3.62%. Workflow acceptance demonstrates a functioning inspection-to-completion prototype. The contribution is an integrated decision process with retained evidence, human correction and constrained crew planning; operational deployment requires calibrated acceptance rules, measured service assumptions and further field evaluation.</w:t>
      </w:r>
    </w:p>
    <w:p>
      <w:pPr>
        <w:spacing w:line="288" w:lineRule="auto"/>
        <w:jc w:val="left"/>
      </w:pPr>
      <w:r>
        <w:rPr>
          <w:i/>
        </w:rPr>
        <w:t>Keywords: road damage detection; YOLO; business rules; genetic algorithm; maintenance scheduling.</w:t>
      </w:r>
    </w:p>
    <w:p>
      <w:pPr>
        <w:pStyle w:val="FrontHeading"/>
        <w:pageBreakBefore/>
      </w:pPr>
      <w:r>
        <w:t>Contents</w:t>
      </w:r>
    </w:p>
    <w:p>
      <w:pPr>
        <w:spacing w:line="240" w:lineRule="auto" w:after="0"/>
      </w:pPr>
      <w:r>
        <w:fldChar w:fldCharType="begin"/>
      </w:r>
      <w:r>
        <w:instrText xml:space="preserve"> TOC \o "1-2" \h \z \u </w:instrText>
      </w:r>
      <w:r>
        <w:fldChar w:fldCharType="separate"/>
      </w:r>
    </w:p>
    <w:p>
      <w:pPr>
        <w:pStyle w:val="TOC1"/>
      </w:pPr>
      <w:hyperlink w:anchor="_RGI_1">
        <w:r>
          <w:t>Abstract</w:t>
        </w:r>
      </w:hyperlink>
      <w:r>
        <w:tab/>
        <w:t>i</w:t>
      </w:r>
    </w:p>
    <w:p>
      <w:pPr>
        <w:pStyle w:val="TOC1"/>
      </w:pPr>
      <w:hyperlink w:anchor="_RGI_2">
        <w:r>
          <w:t>1 Introduction</w:t>
        </w:r>
      </w:hyperlink>
      <w:r>
        <w:tab/>
        <w:t>1</w:t>
      </w:r>
    </w:p>
    <w:p>
      <w:pPr>
        <w:pStyle w:val="TOC2"/>
      </w:pPr>
      <w:hyperlink w:anchor="_RGI_3">
        <w:r>
          <w:t>1.1 Background and Problem Statement</w:t>
        </w:r>
      </w:hyperlink>
      <w:r>
        <w:tab/>
        <w:t>1</w:t>
      </w:r>
    </w:p>
    <w:p>
      <w:pPr>
        <w:pStyle w:val="TOC2"/>
      </w:pPr>
      <w:hyperlink w:anchor="_RGI_4">
        <w:r>
          <w:t>1.2 Related Work and Contribution</w:t>
        </w:r>
      </w:hyperlink>
      <w:r>
        <w:tab/>
        <w:t>1</w:t>
      </w:r>
    </w:p>
    <w:p>
      <w:pPr>
        <w:pStyle w:val="TOC2"/>
      </w:pPr>
      <w:hyperlink w:anchor="_RGI_5">
        <w:r>
          <w:t>1.3 Scope and Project Evolution</w:t>
        </w:r>
      </w:hyperlink>
      <w:r>
        <w:tab/>
        <w:t>2</w:t>
      </w:r>
    </w:p>
    <w:p>
      <w:pPr>
        <w:pStyle w:val="TOC1"/>
      </w:pPr>
      <w:hyperlink w:anchor="_RGI_6">
        <w:r>
          <w:t>2 Data and Knowledge Preparation</w:t>
        </w:r>
      </w:hyperlink>
      <w:r>
        <w:tab/>
        <w:t>3</w:t>
      </w:r>
    </w:p>
    <w:p>
      <w:pPr>
        <w:pStyle w:val="TOC1"/>
      </w:pPr>
      <w:hyperlink w:anchor="_RGI_7">
        <w:r>
          <w:t>3 System Design and Implementation</w:t>
        </w:r>
      </w:hyperlink>
      <w:r>
        <w:tab/>
        <w:t>5</w:t>
      </w:r>
    </w:p>
    <w:p>
      <w:pPr>
        <w:pStyle w:val="TOC2"/>
      </w:pPr>
      <w:hyperlink w:anchor="_RGI_8">
        <w:r>
          <w:t>3.1 System Architecture</w:t>
        </w:r>
      </w:hyperlink>
      <w:r>
        <w:tab/>
        <w:t>5</w:t>
      </w:r>
    </w:p>
    <w:p>
      <w:pPr>
        <w:pStyle w:val="TOC2"/>
      </w:pPr>
      <w:hyperlink w:anchor="_RGI_9">
        <w:r>
          <w:t>3.2 Decision and Scheduling Semantics</w:t>
        </w:r>
      </w:hyperlink>
      <w:r>
        <w:tab/>
        <w:t>5</w:t>
      </w:r>
    </w:p>
    <w:p>
      <w:pPr>
        <w:pStyle w:val="TOC2"/>
      </w:pPr>
      <w:hyperlink w:anchor="_RGI_10">
        <w:r>
          <w:t>3.3 Implementation and User Workspaces</w:t>
        </w:r>
      </w:hyperlink>
      <w:r>
        <w:tab/>
        <w:t>6</w:t>
      </w:r>
    </w:p>
    <w:p>
      <w:pPr>
        <w:pStyle w:val="TOC2"/>
      </w:pPr>
      <w:hyperlink w:anchor="_RGI_12">
        <w:r>
          <w:t>3.4 Application of Intelligent Reasoning Techniques</w:t>
        </w:r>
      </w:hyperlink>
      <w:r>
        <w:tab/>
        <w:t>9</w:t>
      </w:r>
    </w:p>
    <w:p>
      <w:pPr>
        <w:pStyle w:val="TOC2"/>
      </w:pPr>
      <w:hyperlink w:anchor="_RGI_13">
        <w:r>
          <w:t>3.5 Team Contributions and Development Practice</w:t>
        </w:r>
      </w:hyperlink>
      <w:r>
        <w:tab/>
        <w:t>9</w:t>
      </w:r>
    </w:p>
    <w:p>
      <w:pPr>
        <w:pStyle w:val="TOC1"/>
      </w:pPr>
      <w:hyperlink w:anchor="_RGI_21">
        <w:r>
          <w:t>4 Evaluation Methodology</w:t>
        </w:r>
      </w:hyperlink>
      <w:r>
        <w:tab/>
        <w:t>10</w:t>
      </w:r>
    </w:p>
    <w:p>
      <w:pPr>
        <w:pStyle w:val="TOC1"/>
      </w:pPr>
      <w:hyperlink w:anchor="_RGI_22">
        <w:r>
          <w:t>5 Results and Discussion</w:t>
        </w:r>
      </w:hyperlink>
      <w:r>
        <w:tab/>
        <w:t>11</w:t>
      </w:r>
    </w:p>
    <w:p>
      <w:pPr>
        <w:pStyle w:val="TOC2"/>
      </w:pPr>
      <w:hyperlink w:anchor="_RGI_23">
        <w:r>
          <w:t>5.1 Vision Performance and Error Analysis</w:t>
        </w:r>
      </w:hyperlink>
      <w:r>
        <w:tab/>
        <w:t>11</w:t>
      </w:r>
    </w:p>
    <w:p>
      <w:pPr>
        <w:pStyle w:val="TOC2"/>
      </w:pPr>
      <w:hyperlink w:anchor="_RGI_25">
        <w:r>
          <w:t>5.2 Routing Performance</w:t>
        </w:r>
      </w:hyperlink>
      <w:r>
        <w:tab/>
        <w:t>13</w:t>
      </w:r>
    </w:p>
    <w:p>
      <w:pPr>
        <w:pStyle w:val="TOC2"/>
      </w:pPr>
      <w:hyperlink w:anchor="_RGI_26">
        <w:r>
          <w:t>5.3 Integrated Workflow Verification</w:t>
        </w:r>
      </w:hyperlink>
      <w:r>
        <w:tab/>
        <w:t>14</w:t>
      </w:r>
    </w:p>
    <w:p>
      <w:pPr>
        <w:pStyle w:val="TOC1"/>
      </w:pPr>
      <w:hyperlink w:anchor="_RGI_27">
        <w:r>
          <w:t>6 Conclusions and Future Work</w:t>
        </w:r>
      </w:hyperlink>
      <w:r>
        <w:tab/>
        <w:t>16</w:t>
      </w:r>
    </w:p>
    <w:p>
      <w:pPr>
        <w:pStyle w:val="TOC2"/>
      </w:pPr>
      <w:hyperlink w:anchor="_RGI_28">
        <w:r>
          <w:t>6.1 Conclusions and Limitations</w:t>
        </w:r>
      </w:hyperlink>
      <w:r>
        <w:tab/>
        <w:t>16</w:t>
      </w:r>
    </w:p>
    <w:p>
      <w:pPr>
        <w:pStyle w:val="TOC2"/>
      </w:pPr>
      <w:hyperlink w:anchor="_RGI_29">
        <w:r>
          <w:t>6.2 Future Work</w:t>
        </w:r>
      </w:hyperlink>
      <w:r>
        <w:tab/>
        <w:t>16</w:t>
      </w:r>
    </w:p>
    <w:p>
      <w:pPr>
        <w:pStyle w:val="TOC1"/>
      </w:pPr>
      <w:hyperlink w:anchor="_RGI_14">
        <w:r>
          <w:t>Appendix A Installation and User Guide</w:t>
        </w:r>
      </w:hyperlink>
      <w:r>
        <w:tab/>
        <w:t>17</w:t>
      </w:r>
    </w:p>
    <w:p>
      <w:pPr>
        <w:pStyle w:val="TOC2"/>
      </w:pPr>
      <w:hyperlink w:anchor="_RGI_15">
        <w:r>
          <w:t>A.1 Environment and Dependencies</w:t>
        </w:r>
      </w:hyperlink>
      <w:r>
        <w:tab/>
        <w:t>17</w:t>
      </w:r>
    </w:p>
    <w:p>
      <w:pPr>
        <w:pStyle w:val="TOC2"/>
      </w:pPr>
      <w:hyperlink w:anchor="_RGI_16">
        <w:r>
          <w:t>A.2 Accounts and Local Configuration</w:t>
        </w:r>
      </w:hyperlink>
      <w:r>
        <w:tab/>
        <w:t>17</w:t>
      </w:r>
    </w:p>
    <w:p>
      <w:pPr>
        <w:pStyle w:val="TOC2"/>
      </w:pPr>
      <w:hyperlink w:anchor="_RGI_17">
        <w:r>
          <w:t>A.3 Starting the Application</w:t>
        </w:r>
      </w:hyperlink>
      <w:r>
        <w:tab/>
        <w:t>17</w:t>
      </w:r>
    </w:p>
    <w:p>
      <w:pPr>
        <w:pStyle w:val="TOC2"/>
      </w:pPr>
      <w:hyperlink w:anchor="_RGI_18">
        <w:r>
          <w:t>A.4 User Workflow</w:t>
        </w:r>
      </w:hyperlink>
      <w:r>
        <w:tab/>
        <w:t>18</w:t>
      </w:r>
    </w:p>
    <w:p>
      <w:pPr>
        <w:pStyle w:val="TOC2"/>
      </w:pPr>
      <w:hyperlink w:anchor="_RGI_19">
        <w:r>
          <w:t>A.5 API Testing and Troubleshooting</w:t>
        </w:r>
      </w:hyperlink>
      <w:r>
        <w:tab/>
        <w:t>19</w:t>
      </w:r>
    </w:p>
    <w:p>
      <w:pPr>
        <w:pStyle w:val="TOC2"/>
      </w:pPr>
      <w:hyperlink w:anchor="_RGI_20">
        <w:r>
          <w:t>A.6 Optional Travel Time Provider</w:t>
        </w:r>
      </w:hyperlink>
      <w:r>
        <w:tab/>
        <w:t>19</w:t>
      </w:r>
    </w:p>
    <w:p>
      <w:pPr>
        <w:pStyle w:val="TOC1"/>
      </w:pPr>
      <w:hyperlink w:anchor="appendix_b_proposal">
        <w:r>
          <w:t>Appendix B Submitted Project Proposal</w:t>
        </w:r>
      </w:hyperlink>
      <w:r>
        <w:tab/>
        <w:t>20</w:t>
      </w:r>
    </w:p>
    <w:p>
      <w:pPr>
        <w:pStyle w:val="TOC1"/>
      </w:pPr>
      <w:hyperlink w:anchor="appendix_c_mapping">
        <w:r>
          <w:t>Appendix C Course Functionality Mapping</w:t>
        </w:r>
      </w:hyperlink>
      <w:r>
        <w:tab/>
        <w:t>33</w:t>
      </w:r>
      <w:r>
        <w:fldChar w:fldCharType="end"/>
      </w:r>
    </w:p>
    <w:p>
      <w:pPr>
        <w:sectPr>
          <w:headerReference w:type="default" r:id="rId30"/>
          <w:footerReference w:type="default" r:id="rId31"/>
          <w:pgSz w:w="12240" w:h="15840"/>
          <w:pgMar w:top="1296" w:bottom="1296" w:left="1440" w:right="1440" w:header="576" w:footer="576"/>
          <w:pgNumType w:fmt="lowerRoman" w:start="1"/>
        </w:sectPr>
      </w:pPr>
    </w:p>
    <w:p>
      <w:pPr>
        <w:pStyle w:val="Heading1"/>
        <w:pageBreakBefore w:val="0"/>
        <w:jc w:val="left"/>
      </w:pPr>
      <w:bookmarkStart w:id="2001" w:name="_RGI_2"/>
      <w:r>
        <w:t>1 Introduction</w:t>
      </w:r>
      <w:bookmarkEnd w:id="2001"/>
    </w:p>
    <w:p>
      <w:pPr>
        <w:pStyle w:val="Heading2"/>
        <w:pageBreakBefore w:val="0"/>
        <w:jc w:val="left"/>
      </w:pPr>
      <w:bookmarkStart w:id="2002" w:name="_RGI_3"/>
      <w:r>
        <w:t>1.1 Background and Problem Statement</w:t>
      </w:r>
      <w:bookmarkEnd w:id="2002"/>
    </w:p>
    <w:p>
      <w:pPr/>
      <w:r>
        <w:t>RoadGuard addresses the handoff between road inspection and maintenance scheduling. A photographic observation must be interpreted, reviewed when uncertain, assigned a repair priority and allocated to an available crew. Detection alone does not establish road eligibility, service time or operational urgency.</w:t>
      </w:r>
    </w:p>
    <w:p>
      <w:pPr/>
      <w:r>
        <w:t>Singapore’s Land Transport Authority describes manual inspection and reporting as labour-intensive and affected by inspectors’ judgement. Its published account of AI-assisted inspection and GeoFormSG also identifies the effort of transferring location coordinates between applications. This provides a local problem context and an existing-practice comparator; RoadGuard has no integration with LTA.</w:t>
      </w:r>
    </w:p>
    <w:p>
      <w:pPr/>
      <w:r>
        <w:t>The project aims to connect inspectors, dispatchers and crews through one traceable workflow. Inspectors submit evidence, dispatchers correct and prioritise observations, and crews consult assigned work and record completion. The intended value is less repeated data handling and clearer allocation decisions. These benefits require later user and operational evaluation; they are not measured financial savings.</w:t>
      </w:r>
    </w:p>
    <w:p>
      <w:pPr>
        <w:pStyle w:val="Heading2"/>
        <w:pageBreakBefore w:val="0"/>
        <w:jc w:val="left"/>
      </w:pPr>
      <w:bookmarkStart w:id="2003" w:name="_RGI_4"/>
      <w:r>
        <w:t>1.2 Related Work and Contribution</w:t>
      </w:r>
      <w:bookmarkEnd w:id="2003"/>
    </w:p>
    <w:p>
      <w:pPr/>
      <w:r>
        <w:t>Arya et al.’s RDD2022 benchmark contains 47,420 images from six countries and four damage families. RoadGuard uses the separately published eight-class RDD2022ES derivative, which offers training material but no evidence of Singapore performance or repair priorities. Redmon et al.’s YOLO work provides the methodological basis for joint box and class prediction; the implemented detector is the later Ultralytics YOLO11, selected through project experiments.</w:t>
      </w:r>
    </w:p>
    <w:p>
      <w:pPr/>
      <w:r>
        <w:t>For scheduling, Vidal’s hybrid genetic-search research illustrates the value of evolutionary search and local improvement in capacitated routing. RoadGuard uses a smaller custom GA, not Vidal’s HGS or SWAP* method. A deterministic Greedy baseline supports transparent comparison. The contribution is the combination of learned perception, editable rules, human correction and evaluated crew planning, rather than a new detector architecture or search algorithm. Compared with an inspection-only tool, this connects accepted evidence to repair allocation and completion.</w:t>
      </w:r>
    </w:p>
    <w:p>
      <w:pPr>
        <w:pStyle w:val="Heading2"/>
        <w:pageBreakBefore w:val="0"/>
        <w:jc w:val="left"/>
      </w:pPr>
      <w:bookmarkStart w:id="2004" w:name="_RGI_5"/>
      <w:r>
        <w:t>1.3 Scope and Project Evolution</w:t>
      </w:r>
      <w:bookmarkEnd w:id="2004"/>
    </w:p>
    <w:p>
      <w:pPr/>
      <w:r>
        <w:t>The scenario models one maintenance department with four crews serving eligible public motor roads in Jurong East and Jurong West within frozen URA Master Plan 2025 boundaries. A shared simulated origin is located at NUS-ISS. Expressway mainlines and ramps, and private or restricted internal roads, are excluded. The backend checks the geographic boundary; road type is user-declared. This does not describe an actual NUS-ISS maintenance operation.</w:t>
      </w:r>
    </w:p>
    <w:p>
      <w:pPr/>
      <w:r>
        <w:t>The delivered workflow covers one primary detection per image, confidence-based acceptance or review, rule-based tasks, explicit route recalculation, comparative schedules and crew completion. Table 1 distinguishes the submitted proposal, reproduced in Appendix B, from the delivered scope. Geographic restriction and four crews follow presentation feedback; the other differences are implementation decisions or incomplete scope.</w:t>
      </w:r>
    </w:p>
    <w:p>
      <w:pPr>
        <w:pStyle w:val="ReportCaption"/>
        <w:keepNext/>
      </w:pPr>
      <w:r>
        <w:t>Table 1. Changes from the original project plan</w:t>
      </w:r>
    </w:p>
    <w:tbl>
      <w:tblPr>
        <w:tblW w:type="auto" w:w="0"/>
        <w:tblLayout w:type="fixed"/>
        <w:tblLook w:firstColumn="1" w:firstRow="1" w:lastColumn="0" w:lastRow="0" w:noHBand="0" w:noVBand="1" w:val="04A0"/>
      </w:tblPr>
      <w:tblGrid>
        <w:gridCol w:w="1676"/>
        <w:gridCol w:w="3562"/>
        <w:gridCol w:w="4121"/>
      </w:tblGrid>
      <w:tr>
        <w:trPr>
          <w:cantSplit/>
          <w:tblHeader/>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Item</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Original plan</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Current evidence</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Area and crews</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Singapore example with two crews</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Jurong East/West, four crews, NUS-ISS origin</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Wide crack priority</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Wide, sunken or deep labels mapped to P1</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Wide cracks use P2; sunken/deep labels retain P1</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Route refresh</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Queue changes automatically trigger recalculation</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Changes mark plans stale; dispatcher explicitly recalculates</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Travel and map</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Routes and Maps JavaScript API</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Optional Google matrix; default simulation; schematic SVG map</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Language assistant</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GPT/RAG explanations and confirmed change requests</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Prepared knowledge and placeholder only; not implemented</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Business rules</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Proposed rules.yaml and provisional mapping</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Versioned JSON policy with 60/120/240-minute durations</w:t>
            </w:r>
          </w:p>
        </w:tc>
      </w:tr>
      <w:tr>
        <w:trPr>
          <w:cantSplit/>
        </w:trPr>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User access</w:t>
            </w:r>
          </w:p>
        </w:tc>
        <w:tc>
          <w:tcPr>
            <w:tcW w:type="dxa" w:w="356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Inspector, coordinator and crew workflows</w:t>
            </w:r>
          </w:p>
        </w:tc>
        <w:tc>
          <w:tcPr>
            <w:tcW w:type="dxa" w:w="412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Authenticated roles, own-inspection and fixed-crew enforcement</w:t>
            </w:r>
          </w:p>
        </w:tc>
      </w:tr>
    </w:tbl>
    <w:p>
      <w:pPr>
        <w:spacing w:before="120"/>
      </w:pPr>
      <w:r>
        <w:t>The routing examples use a 480-minute shift and return to the depot, while the shared project configuration still treats those policies as unresolved. They remain demonstration assumptions. The planned GPT/RAG service and its confirmed-change workflow have not been implemented; prepared knowledge and an interface placeholder are not evaluated assistant functionality.</w:t>
      </w:r>
    </w:p>
    <w:p>
      <w:pPr>
        <w:pStyle w:val="Heading1"/>
        <w:pageBreakBefore/>
        <w:jc w:val="left"/>
      </w:pPr>
      <w:bookmarkStart w:id="2005" w:name="_RGI_6"/>
      <w:r>
        <w:t>2 Data and Knowledge Preparation</w:t>
      </w:r>
      <w:bookmarkEnd w:id="2005"/>
    </w:p>
    <w:p>
      <w:pPr/>
      <w:r>
        <w:t>The visual pipeline pins Juuso’s RDD2022ES version 1 and its eight-class dictionary. Images are decoded and annotation coordinates and class IDs checked; missing-label and uncertain orientation groups are quarantined. File hashes and exclusion manifests preserve preparation decisions. The publisher’s conflicting licence statements remain unresolved for prospective commercial reuse.</w:t>
      </w:r>
    </w:p>
    <w:p>
      <w:pPr/>
      <w:r>
        <w:t>Originals and mirrors are grouped before splitting, with exact and conservative perceptual similarity checks linking additional related images. Country-stratified allocation uses seed 42 and approximately 70/15/15 proportions. Training includes mirrors; validation and test use originals only. This limits known duplicate leakage but cannot establish independence of adjacent scenes without sequence or location metadata.</w:t>
      </w:r>
    </w:p>
    <w:p>
      <w:pPr>
        <w:pStyle w:val="ReportCaption"/>
        <w:keepNext/>
      </w:pPr>
      <w:r>
        <w:t>Table 2. Prepared visual-data partitions</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Partition</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Images</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Groups</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Annotated boxes</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Use</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Training</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17,916</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8,939</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25,314</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Originals and supplied mirrors</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Validation</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1,921</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1,917</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2,623</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Originals only; model selection</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Test</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1,918</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1,915</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2,673</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Originals only; historical n10 test</w:t>
            </w:r>
          </w:p>
        </w:tc>
      </w:tr>
    </w:tbl>
    <w:p>
      <w:pPr>
        <w:spacing w:before="120"/>
      </w:pPr>
      <w:r>
        <w:t>Only the historical YOLO11n 10-epoch baseline has a recorded test-set evaluation. Subsequent model and policy selection reused validation data. These are foreign-source research photographs; synthetic Jurong task coordinates are separate scheduling inputs and do not establish where a photograph was captured.</w:t>
      </w:r>
    </w:p>
    <w:p>
      <w:pPr/>
      <w:r>
        <w:t>Versioned business rules encode severity, priority, service minutes and explanations. A source-hashed knowledge package records scope, label meanings, rules and workflow. It was checked against repository content, not approved by engineering experts. The visual qualifiers “wide”, “sunken” and “deep” are categorical labels, not measurements of width, depth or structural condition.</w:t>
      </w:r>
    </w:p>
    <w:p>
      <w:pPr>
        <w:pStyle w:val="ReportCaption"/>
        <w:keepNext/>
      </w:pPr>
      <w:r>
        <w:t>Table 3. Damage classes and demonstration rules</w:t>
      </w:r>
    </w:p>
    <w:tbl>
      <w:tblPr>
        <w:tblW w:type="auto" w:w="0"/>
        <w:tblLayout w:type="fixed"/>
        <w:tblLook w:firstColumn="1" w:firstRow="1" w:lastColumn="0" w:lastRow="0" w:noHBand="0" w:noVBand="1" w:val="04A0"/>
      </w:tblPr>
      <w:tblGrid>
        <w:gridCol w:w="4470"/>
        <w:gridCol w:w="1676"/>
        <w:gridCol w:w="1397"/>
        <w:gridCol w:w="1816"/>
      </w:tblGrid>
      <w:tr>
        <w:trPr>
          <w:cantSplit/>
          <w:tblHeader/>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Class</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Severity</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Priority</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Service minutes</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low</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P3</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 wide</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low</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P3</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 wide</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 sunken</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high</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240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pothole</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medium</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120</w:t>
            </w:r>
          </w:p>
        </w:tc>
      </w:tr>
      <w:tr>
        <w:trPr>
          <w:cantSplit/>
        </w:trPr>
        <w:tc>
          <w:tcPr>
            <w:tcW w:type="dxa" w:w="447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pothole deep</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high</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P1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240</w:t>
            </w:r>
          </w:p>
        </w:tc>
      </w:tr>
    </w:tbl>
    <w:p>
      <w:pPr>
        <w:spacing w:before="120"/>
      </w:pPr>
      <w:r>
        <w:t>Confidence governs acceptance, while the selected label determines the rule outcome. A confident incorrect label can therefore create an incorrect task. Service times are project assumptions, not measured construction standards.</w:t>
      </w:r>
    </w:p>
    <w:p>
      <w:pPr>
        <w:pStyle w:val="Heading1"/>
        <w:pageBreakBefore/>
        <w:jc w:val="left"/>
      </w:pPr>
      <w:bookmarkStart w:id="2006" w:name="_RGI_7"/>
      <w:r>
        <w:t>3 System Design and Implementation</w:t>
      </w:r>
      <w:bookmarkEnd w:id="2006"/>
    </w:p>
    <w:p>
      <w:pPr>
        <w:pStyle w:val="Heading2"/>
        <w:pageBreakBefore w:val="0"/>
        <w:jc w:val="left"/>
      </w:pPr>
      <w:bookmarkStart w:id="2007" w:name="_RGI_8"/>
      <w:r>
        <w:t>3.1 System Architecture</w:t>
      </w:r>
      <w:bookmarkEnd w:id="2007"/>
    </w:p>
    <w:p>
      <w:pPr/>
      <w:r>
        <w:t>A React client uses one FastAPI backend and shared SQLite database. Separate services handle vision, rules, inspections, tasks, crews and planning. YOLO supplies both class and location evidence for review; explicit rules keep policy changes separate from model training. GA addresses the discrete combination of task assignment and visit order, while Greedy provides an interpretable baseline and a dependable initial solution.</w:t>
      </w:r>
    </w:p>
    <w:p>
      <w:pPr>
        <w:keepNext/>
        <w:spacing w:line="240" w:lineRule="auto" w:before="120" w:after="100"/>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80760" cy="3040380"/>
                    </a:xfrm>
                    <a:prstGeom prst="rect"/>
                  </pic:spPr>
                </pic:pic>
              </a:graphicData>
            </a:graphic>
          </wp:inline>
        </w:drawing>
      </w:r>
    </w:p>
    <w:p>
      <w:pPr>
        <w:pStyle w:val="ReportCaption"/>
        <w:keepNext w:val="0"/>
        <w:jc w:val="left"/>
      </w:pPr>
      <w:r>
        <w:rPr>
          <w:b/>
        </w:rPr>
        <w:t xml:space="preserve">Figure 1. </w:t>
      </w:r>
      <w:r>
        <w:t>System architecture and principal information flows.</w:t>
      </w:r>
    </w:p>
    <w:p>
      <w:pPr>
        <w:pStyle w:val="TableNote"/>
      </w:pPr>
      <w:r>
        <w:t>Note. The implemented services exclude the proposed GPT/RAG assistant. Planning is explicitly requested by the dispatcher.</w:t>
      </w:r>
    </w:p>
    <w:p>
      <w:pPr>
        <w:pStyle w:val="Heading2"/>
        <w:pageBreakBefore w:val="0"/>
        <w:jc w:val="left"/>
      </w:pPr>
      <w:bookmarkStart w:id="2008" w:name="_RGI_9"/>
      <w:r>
        <w:t>3.2 Decision and Scheduling Semantics</w:t>
      </w:r>
      <w:bookmarkEnd w:id="2008"/>
    </w:p>
    <w:p>
      <w:pPr/>
      <w:r>
        <w:t>The backend checks the local model manifest, weight hash and eight-class schema. Inference filters candidates at confidence 0.20. The primary box is ranked by confidence multiplied by the fourth root of its image-area fraction; this score does not replace raw confidence. A primary confidence of at least 0.60 automatically creates one task, lower confidence requires review, and no detection creates no task. Raw evidence, the rule snapshot and review history are retained. Corrections use the frozen rules, and idempotent requests prevent duplicate tasks.</w:t>
      </w:r>
    </w:p>
    <w:p>
      <w:pPr/>
      <w:r>
        <w:t>Both planners read the same active tasks, crew availability, travel matrix and constraints from a consistent revision. Greedy selects the earliest available crew and a feasible task by priority, then travel time. The GA encodes a task permutation and crew-owner vector. Tournament selection, order-preserving crossover, reassignment, swap, reversal, relocation and elitism explore alternatives; evaluation caching avoids duplicate scoring. Online search includes the Greedy solution, whereas unseeded GA is retained for experimental comparison.</w:t>
      </w:r>
    </w:p>
    <w:p>
      <w:pPr/>
      <w:r>
        <w:t>Candidates minimise the ordered tuple (unassigned P1 count, unassigned P2 count, unassigned P3 count, J), where J = makespan + 0.2 × total travel + 0.5 × workload standard deviation + 0.5 × priority-weighted mean completion time. The final term averages completion times using P1/P2/P3 weights of 3/2/1. Components use minutes; J is a weighted objective, not elapsed time or money. No task deadlines are supplied, so priority-weighted completion is not lateness.</w:t>
      </w:r>
    </w:p>
    <w:p>
      <w:pPr/>
      <w:r>
        <w:t>Task or crew changes mark old plans stale. The dispatcher explicitly recalculates, and a superseded input revision is rejected before a new plan is saved. Completion removes work from later active snapshots but preserves history. Crew completion checks the latest GA assignment and task version in the same transaction, preventing an outdated browser from completing another crew’s reassigned task.</w:t>
      </w:r>
    </w:p>
    <w:p>
      <w:pPr>
        <w:pStyle w:val="Heading2"/>
        <w:pageBreakBefore w:val="0"/>
        <w:jc w:val="left"/>
      </w:pPr>
      <w:bookmarkStart w:id="2009" w:name="_RGI_10"/>
      <w:r>
        <w:t>3.3 Implementation and User Workspaces</w:t>
      </w:r>
      <w:bookmarkEnd w:id="2009"/>
    </w:p>
    <w:p>
      <w:pPr/>
      <w:r>
        <w:t>The application supports uploads, inspection details, reviews, tasks, crew availability, route planning, algorithm comparison and a mobile crew workspace. Backend authorization enforces the role restrictions in Table 4 independently of visible navigation. Authentication uses hashed passwords and sessions, with CSRF checks for modifying requests.</w:t>
      </w:r>
    </w:p>
    <w:p>
      <w:pPr>
        <w:pStyle w:val="ReportCaption"/>
        <w:keepNext/>
      </w:pPr>
      <w:r>
        <w:t>Table 4. Account roles and access restrictions</w:t>
      </w:r>
    </w:p>
    <w:tbl>
      <w:tblPr>
        <w:tblW w:type="auto" w:w="0"/>
        <w:tblLayout w:type="fixed"/>
        <w:tblLook w:firstColumn="1" w:firstRow="1" w:lastColumn="0" w:lastRow="0" w:noHBand="0" w:noVBand="1" w:val="04A0"/>
      </w:tblPr>
      <w:tblGrid>
        <w:gridCol w:w="1537"/>
        <w:gridCol w:w="3912"/>
        <w:gridCol w:w="3912"/>
      </w:tblGrid>
      <w:tr>
        <w:trPr>
          <w:cantSplit/>
          <w:tblHeader/>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Role</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Permitted workflow</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Server-side restriction</w:t>
            </w:r>
          </w:p>
        </w:tc>
      </w:tr>
      <w:tr>
        <w:trPr>
          <w:cantSplit/>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Inspector</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Upload and inspect own results</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No global tasks, reviews or planning</w:t>
            </w:r>
          </w:p>
        </w:tc>
      </w:tr>
      <w:tr>
        <w:trPr>
          <w:cantSplit/>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Dispatcher</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Review, tasks, crews, planning and comparison</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Cannot upload or impersonate a crew workspace</w:t>
            </w:r>
          </w:p>
        </w:tc>
      </w:tr>
      <w:tr>
        <w:trPr>
          <w:cantSplit/>
        </w:trPr>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Crew</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Read own latest GA route and complete assigned work</w:t>
            </w:r>
          </w:p>
        </w:tc>
        <w:tc>
          <w:tcPr>
            <w:tcW w:type="dxa" w:w="39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Cannot select another crew, replan or access global lists</w:t>
            </w:r>
          </w:p>
        </w:tc>
      </w:tr>
    </w:tbl>
    <w:p>
      <w:pPr>
        <w:spacing w:before="120"/>
      </w:pPr>
      <w:r>
        <w:t>Travel providers supply either simulated geographic-distance estimates or optional Google road-network estimates, with validation and caching. Provider failure returns an error rather than silently changing the source. Routes are shown as schematic segments, not turn-by-turn road geometry. The interface exposes stale plans, source information and unassigned reasons; percentage comparisons require matched context and compatible assigned task sets.</w:t>
      </w:r>
    </w:p>
    <w:p>
      <w:pPr/>
      <w:r>
        <w:t>Integration exposed a dependency interaction: loading the vision library replaced the image decoder used by later uploads, causing malformed input to return a server error. Retaining the validated decoder reference and adding a regression case resolved the failure. This demonstrates the need to exercise the actual model together with the upload workflow.</w:t>
      </w:r>
    </w:p>
    <w:p>
      <w:pPr>
        <w:keepNext/>
        <w:spacing w:line="240" w:lineRule="auto" w:before="120" w:after="100"/>
        <w:jc w:val="center"/>
      </w:pPr>
      <w:r>
        <w:drawing>
          <wp:inline xmlns:a="http://schemas.openxmlformats.org/drawingml/2006/main" xmlns:pic="http://schemas.openxmlformats.org/drawingml/2006/picture">
            <wp:extent cx="5852160" cy="4065711"/>
            <wp:docPr id="2" name="Picture 2" descr="English RoadGuard dispatcher review interface"/>
            <wp:cNvGraphicFramePr>
              <a:graphicFrameLocks noChangeAspect="1"/>
            </wp:cNvGraphicFramePr>
            <a:graphic>
              <a:graphicData uri="http://schemas.openxmlformats.org/drawingml/2006/picture">
                <pic:pic>
                  <pic:nvPicPr>
                    <pic:cNvPr id="0" name="reviews-desktop.png"/>
                    <pic:cNvPicPr/>
                  </pic:nvPicPr>
                  <pic:blipFill>
                    <a:blip r:embed="rId15"/>
                    <a:stretch>
                      <a:fillRect/>
                    </a:stretch>
                  </pic:blipFill>
                  <pic:spPr>
                    <a:xfrm>
                      <a:off x="0" y="0"/>
                      <a:ext cx="6080760" cy="4065711"/>
                    </a:xfrm>
                    <a:prstGeom prst="rect"/>
                  </pic:spPr>
                </pic:pic>
              </a:graphicData>
            </a:graphic>
          </wp:inline>
        </w:drawing>
      </w:r>
    </w:p>
    <w:p>
      <w:pPr>
        <w:pStyle w:val="ReportCaption"/>
        <w:keepNext w:val="0"/>
        <w:jc w:val="left"/>
      </w:pPr>
      <w:r>
        <w:rPr>
          <w:b/>
        </w:rPr>
        <w:t xml:space="preserve">Figure 2. </w:t>
      </w:r>
      <w:r>
        <w:t>Dispatcher review interface showing a synthetic confidence case.</w:t>
      </w:r>
    </w:p>
    <w:p>
      <w:pPr>
        <w:pStyle w:val="TableNote"/>
      </w:pPr>
      <w:r>
        <w:t>Note. Recorded on 19 October 2026. The 42% result is a controlled review case rather than a model-accuracy measurement.</w:t>
      </w:r>
    </w:p>
    <w:p>
      <w:pPr/>
      <w:r>
        <w:t>On mobile, crew accounts retain sign-out and their fixed crew identity, view the current route and confirm task completion. URL changes cannot grant another crew’s access. Recorded 360/390-pixel browser checks found no whole-page horizontal overflow.</w:t>
      </w:r>
    </w:p>
    <w:p>
      <w:pPr>
        <w:keepNext/>
        <w:spacing w:line="240" w:lineRule="auto" w:before="120" w:after="100"/>
        <w:jc w:val="center"/>
      </w:pPr>
      <w:r>
        <w:drawing>
          <wp:inline xmlns:a="http://schemas.openxmlformats.org/drawingml/2006/main" xmlns:pic="http://schemas.openxmlformats.org/drawingml/2006/picture">
            <wp:extent cx="2331720" cy="5048951"/>
            <wp:docPr id="3" name="Picture 3" descr="English RoadGuard mobile crew completion and route interface"/>
            <wp:cNvGraphicFramePr>
              <a:graphicFrameLocks noChangeAspect="1"/>
            </wp:cNvGraphicFramePr>
            <a:graphic>
              <a:graphicData uri="http://schemas.openxmlformats.org/drawingml/2006/picture">
                <pic:pic>
                  <pic:nvPicPr>
                    <pic:cNvPr id="0" name="crew-mobile-task.png"/>
                    <pic:cNvPicPr/>
                  </pic:nvPicPr>
                  <pic:blipFill>
                    <a:blip r:embed="rId11"/>
                    <a:stretch>
                      <a:fillRect/>
                    </a:stretch>
                  </pic:blipFill>
                  <pic:spPr>
                    <a:xfrm>
                      <a:off x="0" y="0"/>
                      <a:ext cx="2331720" cy="5048951"/>
                    </a:xfrm>
                    <a:prstGeom prst="rect"/>
                  </pic:spPr>
                </pic:pic>
              </a:graphicData>
            </a:graphic>
          </wp:inline>
        </w:drawing>
      </w:r>
    </w:p>
    <w:p>
      <w:pPr>
        <w:pStyle w:val="ReportCaption"/>
        <w:keepNext w:val="0"/>
        <w:jc w:val="left"/>
      </w:pPr>
      <w:r>
        <w:rPr>
          <w:b/>
        </w:rPr>
        <w:t xml:space="preserve">Figure 3. </w:t>
      </w:r>
      <w:r>
        <w:t>Mobile crew workspace showing task completion and route entries.</w:t>
      </w:r>
    </w:p>
    <w:p>
      <w:pPr>
        <w:pStyle w:val="TableNote"/>
      </w:pPr>
      <w:r>
        <w:t>Note. Recorded on 19 October 2026. Completion is checked against the current crew assignment and task version.</w:t>
      </w:r>
    </w:p>
    <w:p>
      <w:pPr>
        <w:pStyle w:val="Heading2"/>
        <w:pageBreakBefore/>
        <w:jc w:val="left"/>
      </w:pPr>
      <w:bookmarkStart w:id="2011" w:name="_RGI_12"/>
      <w:r>
        <w:t>3.4 Application of Intelligent Reasoning Techniques</w:t>
      </w:r>
      <w:bookmarkEnd w:id="2011"/>
    </w:p>
    <w:p>
      <w:pPr/>
      <w:r>
        <w:t>Learned visual perception supplies uncertain evidence; explicit rules determine the permitted business response; constrained search allocates accepted work. These complementary methods form the reasoning chain described in Sections 3.1 and 3.2. Appendix C maps the delivered functions to MR, RS and CGS, with implementation evidence, verification references and limitations.</w:t>
      </w:r>
    </w:p>
    <w:p>
      <w:pPr>
        <w:pStyle w:val="Heading2"/>
        <w:pageBreakBefore w:val="0"/>
        <w:jc w:val="left"/>
      </w:pPr>
      <w:bookmarkStart w:id="2012" w:name="_RGI_13"/>
      <w:r>
        <w:t>3.5 Team Contributions and Development Practice</w:t>
      </w:r>
      <w:bookmarkEnd w:id="2012"/>
    </w:p>
    <w:p>
      <w:pPr>
        <w:pStyle w:val="ReportCaption"/>
        <w:keepNext/>
      </w:pPr>
      <w:r>
        <w:t>Table 5. Team responsibilities and completed contributions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944"/>
        <w:gridCol w:w="5256"/>
      </w:tblGrid>
      <w:tr>
        <w:trPr>
          <w:cantSplit/>
          <w:tblHeader/>
        </w:trPr>
        <w:tc>
          <w:tcPr>
            <w:tcW w:type="dxa" w:w="2160"/>
            <w:vAlign w:val="center"/>
            <w:tcMar>
              <w:top w:w="85" w:type="dxa"/>
              <w:left w:w="85" w:type="dxa"/>
              <w:bottom w:w="85" w:type="dxa"/>
              <w:right w:w="85" w:type="dxa"/>
            </w:tcMar>
            <w:shd w:fill="EDEDED"/>
          </w:tcPr>
          <w:p>
            <w:pPr>
              <w:spacing w:line="264" w:lineRule="auto" w:after="40"/>
              <w:jc w:val="left"/>
            </w:pPr>
            <w:r>
              <w:rPr>
                <w:rFonts w:ascii="Times New Roman" w:hAnsi="Times New Roman"/>
                <w:b/>
                <w:color w:val="000000"/>
                <w:sz w:val="21"/>
              </w:rPr>
              <w:t>Member</w:t>
            </w:r>
          </w:p>
        </w:tc>
        <w:tc>
          <w:tcPr>
            <w:tcW w:type="dxa" w:w="1944"/>
            <w:vAlign w:val="center"/>
            <w:tcMar>
              <w:top w:w="85" w:type="dxa"/>
              <w:left w:w="85" w:type="dxa"/>
              <w:bottom w:w="85" w:type="dxa"/>
              <w:right w:w="85" w:type="dxa"/>
            </w:tcMar>
            <w:shd w:fill="EDEDED"/>
          </w:tcPr>
          <w:p>
            <w:pPr>
              <w:spacing w:line="264" w:lineRule="auto" w:after="40"/>
              <w:jc w:val="left"/>
            </w:pPr>
            <w:r>
              <w:rPr>
                <w:rFonts w:ascii="Times New Roman" w:hAnsi="Times New Roman"/>
                <w:b/>
                <w:color w:val="000000"/>
                <w:sz w:val="21"/>
              </w:rPr>
              <w:t>Primary area</w:t>
            </w:r>
          </w:p>
        </w:tc>
        <w:tc>
          <w:tcPr>
            <w:tcW w:type="dxa" w:w="5256"/>
            <w:vAlign w:val="center"/>
            <w:tcMar>
              <w:top w:w="85" w:type="dxa"/>
              <w:left w:w="85" w:type="dxa"/>
              <w:bottom w:w="85" w:type="dxa"/>
              <w:right w:w="85" w:type="dxa"/>
            </w:tcMar>
            <w:shd w:fill="EDEDED"/>
          </w:tcPr>
          <w:p>
            <w:pPr>
              <w:spacing w:line="264" w:lineRule="auto" w:after="40"/>
              <w:jc w:val="left"/>
            </w:pPr>
            <w:r>
              <w:rPr>
                <w:rFonts w:ascii="Times New Roman" w:hAnsi="Times New Roman"/>
                <w:b/>
                <w:color w:val="000000"/>
                <w:sz w:val="21"/>
              </w:rPr>
              <w:t>Completed contribution</w:t>
            </w:r>
          </w:p>
        </w:tc>
      </w:tr>
      <w:tr>
        <w:trPr>
          <w:cantSplit/>
        </w:trPr>
        <w:tc>
          <w:tcPr>
            <w:tcW w:type="dxa" w:w="2160"/>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Hu Erji</w:t>
              <w:br/>
              <w:t>A0305480L</w:t>
            </w:r>
          </w:p>
        </w:tc>
        <w:tc>
          <w:tcPr>
            <w:tcW w:type="dxa" w:w="1944"/>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Vision and shared workflow</w:t>
            </w:r>
          </w:p>
        </w:tc>
        <w:tc>
          <w:tcPr>
            <w:tcW w:type="dxa" w:w="5256"/>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Data and model experiments; business rules and shared backend; model release; integration, authentication and later interface refinement.</w:t>
            </w:r>
          </w:p>
        </w:tc>
      </w:tr>
      <w:tr>
        <w:trPr>
          <w:cantSplit/>
        </w:trPr>
        <w:tc>
          <w:tcPr>
            <w:tcW w:type="dxa" w:w="2160"/>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Yan GuanTing</w:t>
              <w:br/>
              <w:t>A0305485B</w:t>
            </w:r>
          </w:p>
        </w:tc>
        <w:tc>
          <w:tcPr>
            <w:tcW w:type="dxa" w:w="1944"/>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Routing and optimisation</w:t>
            </w:r>
          </w:p>
        </w:tc>
        <w:tc>
          <w:tcPr>
            <w:tcW w:type="dxa" w:w="5256"/>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Four-crew Greedy and GA planning; crew and plan persistence; Google matrix provider; routing experiments and ablation.</w:t>
            </w:r>
          </w:p>
        </w:tc>
      </w:tr>
      <w:tr>
        <w:trPr>
          <w:cantSplit/>
        </w:trPr>
        <w:tc>
          <w:tcPr>
            <w:tcW w:type="dxa" w:w="2160"/>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Wu TaoYi</w:t>
              <w:br/>
              <w:t>A0356972M</w:t>
            </w:r>
          </w:p>
        </w:tc>
        <w:tc>
          <w:tcPr>
            <w:tcW w:type="dxa" w:w="1944"/>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Frontend and assistant interface</w:t>
            </w:r>
          </w:p>
        </w:tc>
        <w:tc>
          <w:tcPr>
            <w:tcW w:type="dxa" w:w="5256"/>
            <w:vAlign w:val="center"/>
            <w:tcMar>
              <w:top w:w="85" w:type="dxa"/>
              <w:left w:w="85" w:type="dxa"/>
              <w:bottom w:w="85" w:type="dxa"/>
              <w:right w:w="85" w:type="dxa"/>
            </w:tcMar>
          </w:tcPr>
          <w:p>
            <w:pPr>
              <w:spacing w:line="264" w:lineRule="auto" w:after="40"/>
              <w:jc w:val="left"/>
            </w:pPr>
            <w:r>
              <w:rPr>
                <w:rFonts w:ascii="Times New Roman" w:hAnsi="Times New Roman"/>
                <w:b w:val="0"/>
                <w:color w:val="000000"/>
                <w:sz w:val="21"/>
              </w:rPr>
              <w:t>Frontend foundation and workflow pages; map and comparison integration; assistant interface placeholder. The assistant backend remains unimplemented.</w:t>
            </w:r>
          </w:p>
        </w:tc>
      </w:tr>
    </w:tbl>
    <w:p>
      <w:pPr>
        <w:spacing w:before="120"/>
      </w:pPr>
      <w:r>
        <w:t>Responsibilities were confirmed by the coordinator and corroborated by repository history; squash commits make raw commit counts unsuitable as measures of individual contribution.</w:t>
      </w:r>
    </w:p>
    <w:p>
      <w:pPr>
        <w:pStyle w:val="Heading1"/>
        <w:pageBreakBefore/>
        <w:jc w:val="left"/>
      </w:pPr>
      <w:bookmarkStart w:id="2020" w:name="_RGI_21"/>
      <w:r>
        <w:t>4 Evaluation Methodology</w:t>
      </w:r>
      <w:bookmarkEnd w:id="2020"/>
    </w:p>
    <w:p>
      <w:pPr/>
      <w:r>
        <w:t>Evaluation separates recognition quality, scheduling quality and workflow correctness. The paired YOLO11n/YOLO11s experiments used COCO-pretrained initialisation, 30 epochs, 640-pixel inputs, batch 32, AdamW and seed 42. Subsequent YOLO11s fine-tuning used 40 additional epochs, 832-pixel inputs and batch 16. Multiple settings changed together, so the resulting gains cannot be attributed to one parameter.</w:t>
      </w:r>
    </w:p>
    <w:p>
      <w:pPr/>
      <w:r>
        <w:t>Precision is TP/(TP+FP), Recall is TP/(TP+FN), and F1 is their harmonic mean. Box evaluation requires the correct eight-class label and one-to-one IoU ≥0.5 matching. These micro counts differ from native class-averaged PR operating points and mAP. Single-subject evaluation instead requires the correct primary image label without a box-overlap condition; a wrong label counts as both FP and FN.</w:t>
      </w:r>
    </w:p>
    <w:p>
      <w:pPr/>
      <w:r>
        <w:t>The 1,230 zero/one-annotation images were split deterministically by source group into 853 calibration and 377 confirmation cases; 691 multi-object images were considered separately. Eighty policies were compared on calibration only. Both subsets came from previously used validation data, so confirmation is not an independent test. Macro F1 averages all eight classes, assigning zero to undefined class ratios, including the unsupported wide-transverse class in confirmation.</w:t>
      </w:r>
    </w:p>
    <w:p>
      <w:pPr/>
      <w:r>
        <w:t>Routing crossed 10/15/20 synthetic tasks with simulated/Google matrices and 480-minute/unlimited shifts, producing 12 four-crew scenarios. Each contains Greedy once, pure and Greedy-seeded GA with seeds 1–10, and 20 reference-budget runs with seeds 101–120: 492 runs in total. Default GA uses population 60, at most 300 generations, patience 80, crossover 0.9, mutation 0.3, tournament size 3 and two elites. Reference runs use population 150, at most 1,000 generations and patience 300, alternating pure and seeded initialisation. Inputs and the evaluator are identical within each scenario.</w:t>
      </w:r>
    </w:p>
    <w:p>
      <w:pPr>
        <w:pStyle w:val="Heading1"/>
        <w:pageBreakBefore/>
        <w:jc w:val="left"/>
      </w:pPr>
      <w:bookmarkStart w:id="2021" w:name="_RGI_22"/>
      <w:r>
        <w:t>5 Results and Discussion</w:t>
      </w:r>
      <w:bookmarkEnd w:id="2021"/>
    </w:p>
    <w:p>
      <w:pPr>
        <w:pStyle w:val="Heading2"/>
        <w:pageBreakBefore w:val="0"/>
        <w:jc w:val="left"/>
      </w:pPr>
      <w:bookmarkStart w:id="2022" w:name="_RGI_23"/>
      <w:r>
        <w:t>5.1 Vision Performance and Error Analysis</w:t>
      </w:r>
      <w:bookmarkEnd w:id="2022"/>
    </w:p>
    <w:p>
      <w:pPr/>
      <w:r>
        <w:t>The paired 30-epoch comparison selected YOLO11s for higher validation mAP50–95, but at confidence 0.25 it gained 107 correct matches and added 220 false positives relative to YOLO11n. Matched warm CPU timing on 40 images, repeated three times, gave median/P95 latency of 53.27/63.59 ms for n30 and 81.87/91.85 ms for s30. These timings include image preparation and inference, excluding cold loading, HTTP, database and task processing.</w:t>
      </w:r>
    </w:p>
    <w:p>
      <w:pPr>
        <w:pStyle w:val="ReportCaption"/>
        <w:keepNext/>
      </w:pPr>
      <w:r>
        <w:t>Table 6. Validation detection results on the same 1,921 images</w:t>
      </w:r>
    </w:p>
    <w:tbl>
      <w:tblPr>
        <w:tblW w:type="auto" w:w="0"/>
        <w:tblLayout w:type="fixed"/>
        <w:tblLook w:firstColumn="1" w:firstRow="1" w:lastColumn="0" w:lastRow="0" w:noHBand="0" w:noVBand="1" w:val="04A0"/>
      </w:tblPr>
      <w:tblGrid>
        <w:gridCol w:w="3744"/>
        <w:gridCol w:w="1224"/>
        <w:gridCol w:w="1512"/>
        <w:gridCol w:w="1368"/>
        <w:gridCol w:w="1368"/>
      </w:tblGrid>
      <w:tr>
        <w:trPr>
          <w:cantSplit/>
          <w:tblHeader/>
        </w:trPr>
        <w:tc>
          <w:tcPr>
            <w:tcW w:type="dxa" w:w="37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Model / size / confidence</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mAP50</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mAP50–95</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 (%)</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 (%)</w:t>
            </w:r>
          </w:p>
        </w:tc>
      </w:tr>
      <w:tr>
        <w:trPr>
          <w:cantSplit/>
        </w:trPr>
        <w:tc>
          <w:tcPr>
            <w:tcW w:type="dxa" w:w="37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n10 / 640 / 0.25</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34.28</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16.93</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52.48</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41.17</w:t>
            </w:r>
          </w:p>
        </w:tc>
      </w:tr>
      <w:tr>
        <w:trPr>
          <w:cantSplit/>
        </w:trPr>
        <w:tc>
          <w:tcPr>
            <w:tcW w:type="dxa" w:w="37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n30 / 640 / 0.25</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37.27</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19.16</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50.76</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47.12</w:t>
            </w:r>
          </w:p>
        </w:tc>
      </w:tr>
      <w:tr>
        <w:trPr>
          <w:cantSplit/>
        </w:trPr>
        <w:tc>
          <w:tcPr>
            <w:tcW w:type="dxa" w:w="37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s30 / 640 / 0.25</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38.77</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20.23</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48.62</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51.20</w:t>
            </w:r>
          </w:p>
        </w:tc>
      </w:tr>
      <w:tr>
        <w:trPr>
          <w:cantSplit/>
        </w:trPr>
        <w:tc>
          <w:tcPr>
            <w:tcW w:type="dxa" w:w="37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left"/>
            </w:pPr>
            <w:r>
              <w:rPr>
                <w:rFonts w:ascii="Times New Roman" w:hAnsi="Times New Roman"/>
                <w:b w:val="0"/>
                <w:color w:val="000000"/>
                <w:sz w:val="21"/>
              </w:rPr>
              <w:t>Balanced / 832 / 0.25</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40.16</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20.27</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50.52</w:t>
            </w:r>
          </w:p>
        </w:tc>
        <w:tc>
          <w:tcPr>
            <w:tcW w:type="dxa" w:w="13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52.00</w:t>
            </w:r>
          </w:p>
        </w:tc>
      </w:tr>
    </w:tbl>
    <w:p>
      <w:pPr>
        <w:pStyle w:val="TableNote"/>
      </w:pPr>
      <w:r>
        <w:t>Note. mAP values are percentages from native validation. P/R use eight-class, one-to-one IoU ≥0.5 matching on 2,623 boxes. The n10 run is contextual; n30 and s30 form the matched architecture comparison.</w:t>
      </w:r>
    </w:p>
    <w:p>
      <w:pPr/>
      <w:r>
        <w:t>Balanced fine-tuning made modest gains. Original-plus-horizontal-flip inference subsequently reached 53.02%/53.26% box P/R, but CPU median/P95 rose from 85.19/99.00 to 142.64/160.94 ms. This composite recipe was not deployed. The released single-v1 model uses the balanced weights and original-only 832-pixel inference with area-quarter primary selection.</w:t>
      </w:r>
    </w:p>
    <w:p>
      <w:pPr>
        <w:pStyle w:val="ReportCaption"/>
        <w:keepNext/>
      </w:pPr>
      <w:r>
        <w:t>Table 7. Primary image-type results on the 377-image confirmation subset</w:t>
      </w:r>
    </w:p>
    <w:tbl>
      <w:tblPr>
        <w:tblW w:type="auto" w:w="0"/>
        <w:tblLayout w:type="fixed"/>
        <w:tblLook w:firstColumn="1" w:firstRow="1" w:lastColumn="0" w:lastRow="0" w:noHBand="0" w:noVBand="1" w:val="04A0"/>
      </w:tblPr>
      <w:tblGrid>
        <w:gridCol w:w="3143"/>
        <w:gridCol w:w="768"/>
        <w:gridCol w:w="768"/>
        <w:gridCol w:w="768"/>
        <w:gridCol w:w="1118"/>
        <w:gridCol w:w="1118"/>
        <w:gridCol w:w="1676"/>
      </w:tblGrid>
      <w:tr>
        <w:trPr>
          <w:cantSplit/>
          <w:tblHeader/>
        </w:trPr>
        <w:tc>
          <w:tcPr>
            <w:tcW w:type="dxa" w:w="314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Policy</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TP</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FP</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FN</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 (%)</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 (%)</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Macro F1 (%)</w:t>
            </w:r>
          </w:p>
        </w:tc>
      </w:tr>
      <w:tr>
        <w:trPr>
          <w:cantSplit/>
        </w:trPr>
        <w:tc>
          <w:tcPr>
            <w:tcW w:type="dxa" w:w="314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Confidence baseline, threshold 0.25</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98</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62</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73</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61.25</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57.31</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42.64</w:t>
            </w:r>
          </w:p>
        </w:tc>
      </w:tr>
      <w:tr>
        <w:trPr>
          <w:cantSplit/>
        </w:trPr>
        <w:tc>
          <w:tcPr>
            <w:tcW w:type="dxa" w:w="3143"/>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left"/>
            </w:pPr>
            <w:r>
              <w:rPr>
                <w:rFonts w:ascii="Times New Roman" w:hAnsi="Times New Roman"/>
                <w:b w:val="0"/>
                <w:color w:val="000000"/>
                <w:sz w:val="21"/>
              </w:rPr>
              <w:t>Selected area-quarter, threshold 0.20</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106</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66</w:t>
            </w:r>
          </w:p>
        </w:tc>
        <w:tc>
          <w:tcPr>
            <w:tcW w:type="dxa" w:w="7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65</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61.63</w:t>
            </w:r>
          </w:p>
        </w:tc>
        <w:tc>
          <w:tcPr>
            <w:tcW w:type="dxa" w:w="111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61.99</w:t>
            </w:r>
          </w:p>
        </w:tc>
        <w:tc>
          <w:tcPr>
            <w:tcW w:type="dxa" w:w="16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46.15</w:t>
            </w:r>
          </w:p>
        </w:tc>
      </w:tr>
    </w:tbl>
    <w:p>
      <w:pPr>
        <w:pStyle w:val="TableNote"/>
      </w:pPr>
      <w:r>
        <w:t>Note. Offline hash-verified GPU exports; 171 positive and 206 empty-annotation images. Localisation is not required. Macro F1 averages eight classes, with zero for the unsupported class. These are reused-validation results, not a new CPU-service or Jurong field test.</w:t>
      </w:r>
    </w:p>
    <w:p>
      <w:pPr/>
      <w:r>
        <w:t>Selected image-type Precision/Recall were 61.63%/61.99%, versus 61.25%/57.31% for confidence-only selection. The selected policy produced eight more correctly typed images and four more false positives. Correct-type localisation at IoU 0.5 was lower, at 50.58%/50.88%. Results over all 1,230 eligible images were 65.68%/65.23%, but include calibration and cannot replace confirmation. Neither target of Precision and Recall above 70% was met.</w:t>
      </w:r>
    </w:p>
    <w:p>
      <w:pPr/>
      <w:r>
        <w:t>The approximately 60% result reflects both classification errors and missed or spurious detections. Of 171 annotated positive images, 106 received the correct type, 31 received a wrong type and 34 produced no detection. Another 35 of 206 empty-annotation images produced a prediction. Thus the selected policy has 106 TP, 66 FP and 65 FN. Counting only damage presence gives 79.65% Precision and 80.12% Recall on the same images, but this easier diagnostic does not satisfy eight-class recognition. Box displacement cannot explain the image-type gap because overlap is not required by this metric.</w:t>
      </w:r>
    </w:p>
    <w:p>
      <w:pPr>
        <w:pStyle w:val="ReportCaption"/>
        <w:keepNext/>
      </w:pPr>
      <w:r>
        <w:t>Table 8. Class support and selected image-type performance</w:t>
      </w:r>
    </w:p>
    <w:tbl>
      <w:tblPr>
        <w:tblW w:type="auto" w:w="0"/>
        <w:tblLayout w:type="fixed"/>
        <w:tblLook w:firstColumn="1" w:firstRow="1" w:lastColumn="0" w:lastRow="0" w:noHBand="0" w:noVBand="1" w:val="04A0"/>
      </w:tblPr>
      <w:tblGrid>
        <w:gridCol w:w="4191"/>
        <w:gridCol w:w="1537"/>
        <w:gridCol w:w="1816"/>
        <w:gridCol w:w="1816"/>
      </w:tblGrid>
      <w:tr>
        <w:trPr>
          <w:cantSplit/>
          <w:tblHeader/>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Source class</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Support</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 (%)</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 (%)</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250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73.25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71.20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longitudinal crack wide</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39.39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52.00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74</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66.67</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62.16</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transverse crack wide</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75.00</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60.00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159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75.51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69.81</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alligator crack sunken</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19</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43.75</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36.84</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pothole</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41</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34.62</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43.90</w:t>
            </w:r>
          </w:p>
        </w:tc>
      </w:tr>
      <w:tr>
        <w:trPr>
          <w:cantSplit/>
        </w:trPr>
        <w:tc>
          <w:tcPr>
            <w:tcW w:type="dxa" w:w="419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left"/>
            </w:pPr>
            <w:r>
              <w:rPr>
                <w:rFonts w:ascii="Times New Roman" w:hAnsi="Times New Roman"/>
                <w:b w:val="0"/>
                <w:color w:val="000000"/>
                <w:sz w:val="21"/>
              </w:rPr>
              <w:t>pothole deep</w:t>
            </w:r>
          </w:p>
        </w:tc>
        <w:tc>
          <w:tcPr>
            <w:tcW w:type="dxa" w:w="1537"/>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8</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23.08</w:t>
            </w:r>
          </w:p>
        </w:tc>
        <w:tc>
          <w:tcPr>
            <w:tcW w:type="dxa" w:w="18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37.50</w:t>
            </w:r>
          </w:p>
        </w:tc>
      </w:tr>
    </w:tbl>
    <w:p>
      <w:pPr>
        <w:pStyle w:val="TableNote"/>
      </w:pPr>
      <w:r>
        <w:t>Note. These class results use all 1,230 eligible validation images, including calibration. Support counts annotated positive images, not boxes or independent capture scenes.</w:t>
      </w:r>
    </w:p>
    <w:p>
      <w:pPr/>
      <w:r>
        <w:t>Class support and confusion suggest where further work is needed. In the full eligible set, longitudinal cracks have 250 positives but deep potholes only eight; confirmation contains no wide-transverse positive. In the separate full-validation box audit, 146 of 190 wrong-class matched pairs confused subtypes within a damage family. Small annotated regions also had lower recall: 45.4% below 1% of image area versus 75.0% at or above 20%. These findings support targeted subtype and scale analysis; they do not establish that all errors are caused by data quantity or incorrect annotation. No annotation defect was confirmed in that audit.</w:t>
      </w:r>
    </w:p>
    <w:p>
      <w:pPr/>
      <w:r>
        <w:t>A known pothole photograph was still labelled alligator crack at approximately 0.253 confidence and required human correction. The comparisons show that greater capacity and permissive filtering alone do not establish reliable recognition: ranking and thresholds trade false positives against misses. Moderately distant phone imagery presents an additional, unmeasured transfer risk; it is not a demonstrated cause of these validation errors.</w:t>
      </w:r>
    </w:p>
    <w:p>
      <w:pPr/>
      <w:r>
        <w:t>The separate 0.60 gate has no measured accepted-task precision guarantee. Section 6.2 therefore prioritises independent local data and evaluation of acceptance precision, review workload and missed errors, retaining all eight labels.</w:t>
      </w:r>
    </w:p>
    <w:p>
      <w:pPr>
        <w:pStyle w:val="Heading2"/>
        <w:pageBreakBefore w:val="0"/>
        <w:jc w:val="left"/>
      </w:pPr>
      <w:bookmarkStart w:id="2024" w:name="_RGI_25"/>
      <w:r>
        <w:t>5.2 Routing Performance</w:t>
      </w:r>
      <w:bookmarkEnd w:id="2024"/>
    </w:p>
    <w:p>
      <w:pPr/>
      <w:r>
        <w:t>BKS is the best lexicographic result among 41 runs per scenario, not a proven optimum. Objective gaps require matching unassigned P1/P2/P3 counts; inferior coverage is counted separately. Identical priority counts can still represent different tasks, so objective gains are not automatically workload-matched travel savings.</w:t>
      </w:r>
    </w:p>
    <w:p>
      <w:pPr/>
      <w:r>
        <w:t>Greedy-seeded GA improved all 120 default-budget runs, with scenario-mean objective reductions of 0.73–3.62%. Mean BKS gaps were 0.23–1.82%, versus Greedy’s 1.17–5.10%. Runtime averaged 104.6–361.9 ms; Greedy took less than one millisecond. Seeding and elitism mechanically prevent regression against the included baseline; improvement magnitude and the pure-GA comparison provide the substantive evidence.</w:t>
      </w:r>
    </w:p>
    <w:p>
      <w:pPr>
        <w:pStyle w:val="ReportCaption"/>
        <w:keepNext/>
      </w:pPr>
      <w:r>
        <w:t>Table 9. Greedy and pure GA on complete 20-task scenarios</w:t>
      </w:r>
    </w:p>
    <w:tbl>
      <w:tblPr>
        <w:tblW w:type="auto" w:w="0"/>
        <w:tblLayout w:type="fixed"/>
        <w:tblLook w:firstColumn="1" w:firstRow="1" w:lastColumn="0" w:lastRow="0" w:noHBand="0" w:noVBand="1" w:val="04A0"/>
      </w:tblPr>
      <w:tblGrid>
        <w:gridCol w:w="1956"/>
        <w:gridCol w:w="1851"/>
        <w:gridCol w:w="1851"/>
        <w:gridCol w:w="1851"/>
        <w:gridCol w:w="1851"/>
      </w:tblGrid>
      <w:tr>
        <w:trPr>
          <w:cantSplit/>
          <w:tblHeader/>
        </w:trPr>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Matrix / tasks / shift</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Travel G / GA</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Makespan G / GA</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Priority completion G / GA</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Objective J G / GA</w:t>
            </w:r>
          </w:p>
        </w:tc>
      </w:tr>
      <w:tr>
        <w:trPr>
          <w:cantSplit/>
        </w:trPr>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20 / Unlimited</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227.8 / 242.6</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722.1 / 721.1</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438.9 / 402.2</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1001.0 / 983.6</w:t>
            </w:r>
          </w:p>
        </w:tc>
      </w:tr>
      <w:tr>
        <w:trPr>
          <w:cantSplit/>
        </w:trPr>
        <w:tc>
          <w:tcPr>
            <w:tcW w:type="dxa" w:w="19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left"/>
            </w:pPr>
            <w:r>
              <w:rPr>
                <w:rFonts w:ascii="Times New Roman" w:hAnsi="Times New Roman"/>
                <w:b w:val="0"/>
                <w:color w:val="000000"/>
                <w:sz w:val="21"/>
              </w:rPr>
              <w:t>Google / 20 / Unlimited</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282.9 / 270.3</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736.6 / 725.9</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441.6 / 409.8</w:t>
            </w:r>
          </w:p>
        </w:tc>
        <w:tc>
          <w:tcPr>
            <w:tcW w:type="dxa" w:w="1851"/>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1030.4 / 997.7</w:t>
            </w:r>
          </w:p>
        </w:tc>
      </w:tr>
    </w:tbl>
    <w:p>
      <w:pPr>
        <w:pStyle w:val="TableNote"/>
      </w:pPr>
      <w:r>
        <w:t>Note. Entries show Greedy / pure-GA mean over seeds 1–10. All tasks are assigned; values are minutes except weighted objective J. Improved J need not reduce every component, as simulated travel illustrates.</w:t>
      </w:r>
    </w:p>
    <w:p>
      <w:pPr>
        <w:pStyle w:val="ReportCaption"/>
        <w:keepNext/>
      </w:pPr>
      <w:r>
        <w:t>Table 10. Representative mean objective gaps to the best-known solution</w:t>
      </w:r>
    </w:p>
    <w:tbl>
      <w:tblPr>
        <w:tblW w:type="auto" w:w="0"/>
        <w:tblLayout w:type="fixed"/>
        <w:tblLook w:firstColumn="1" w:firstRow="1" w:lastColumn="0" w:lastRow="0" w:noHBand="0" w:noVBand="1" w:val="04A0"/>
      </w:tblPr>
      <w:tblGrid>
        <w:gridCol w:w="3600"/>
        <w:gridCol w:w="1224"/>
        <w:gridCol w:w="1152"/>
        <w:gridCol w:w="2016"/>
        <w:gridCol w:w="1224"/>
      </w:tblGrid>
      <w:tr>
        <w:trPr>
          <w:cantSplit/>
          <w:tblHeader/>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Matrix / shift / tasks</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Greedy gap</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Pure gap</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Pure inferior coverage</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Seeded gap</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480 / 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1.17</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0.68</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0.43</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480 / 15</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1.49</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0.49</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0.23</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480 / 20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4.29</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0.73</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1.07</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Simulated / Unlimited / 20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4.27</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2.46</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0.50</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480 / 15</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2.19</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0.85</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5/10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0.23</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 480 / 20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3.53</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0.90</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center"/>
            </w:pPr>
            <w:r>
              <w:rPr>
                <w:rFonts w:ascii="Times New Roman" w:hAnsi="Times New Roman"/>
                <w:b w:val="0"/>
                <w:color w:val="000000"/>
                <w:sz w:val="21"/>
              </w:rPr>
              <w:t>0.93</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left"/>
            </w:pPr>
            <w:r>
              <w:rPr>
                <w:rFonts w:ascii="Times New Roman" w:hAnsi="Times New Roman"/>
                <w:b w:val="0"/>
                <w:color w:val="000000"/>
                <w:sz w:val="21"/>
              </w:rPr>
              <w:t>Google / Unlimited / 20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5.10</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1.77</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0/10</w:t>
            </w:r>
          </w:p>
        </w:tc>
        <w:tc>
          <w:tcPr>
            <w:tcW w:type="dxa" w:w="12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keepNext/>
              <w:spacing w:after="40" w:line="264" w:lineRule="auto"/>
              <w:jc w:val="center"/>
            </w:pPr>
            <w:r>
              <w:rPr>
                <w:rFonts w:ascii="Times New Roman" w:hAnsi="Times New Roman"/>
                <w:b w:val="0"/>
                <w:color w:val="000000"/>
                <w:sz w:val="21"/>
              </w:rPr>
              <w:t>1.82</w:t>
            </w:r>
          </w:p>
        </w:tc>
      </w:tr>
    </w:tbl>
    <w:p>
      <w:pPr>
        <w:pStyle w:val="TableNote"/>
      </w:pPr>
      <w:r>
        <w:t>Note. Gaps are percentages over ten seeds; Google/480/15 pure GA uses five compatible-coverage runs, retaining five failures. Rows include capacity stress and worse seeded gaps. Full records: SystemCode/experiments/routing/results/.</w:t>
      </w:r>
    </w:p>
    <w:p>
      <w:pPr/>
      <w:r>
        <w:t>Under Google/480/15, pure-GA seeds 2, 4, 5, 7 and 10 assigned 12 tasks versus Greedy’s 13. Capacity was trapped in one crew with no feasible direct insertion, requiring coordinated relocation. Seeding recovered 13 assignments in all ten runs. However, seeded mean gaps exceeded pure GA in three 20-task scenarios: seeding provides a dependable starting point, not universal superiority.</w:t>
      </w:r>
    </w:p>
    <w:p>
      <w:pPr/>
      <w:r>
        <w:t>Fifteen tasks require 1,920 service minutes, exhausting four shifts before travel. Simulation leaves three unassigned; Google permits one additional P3 assignment. At 20 tasks, both matrices leave eight unassigned and no P1 omitted. Seeded GA reduces simulated travel from 194.9 to 187.1 minutes and Google makespan from 477.1 to 473.0, although task identities may differ. Unlimited shifts assign all 15/20 tasks but exceed 480 minutes; 10-task cases fit the limit.</w:t>
      </w:r>
    </w:p>
    <w:p>
      <w:pPr/>
      <w:r>
        <w:t>Google experiments used historical traffic-unaware estimates; browser acceptance used simulation. API wait and algorithm runtime were recorded separately. These are conditional gains on constructed tasks, not measured field productivity.</w:t>
      </w:r>
    </w:p>
    <w:p>
      <w:pPr>
        <w:pStyle w:val="Heading2"/>
        <w:pageBreakBefore w:val="0"/>
        <w:jc w:val="left"/>
      </w:pPr>
      <w:bookmarkStart w:id="2025" w:name="_RGI_26"/>
      <w:r>
        <w:t>5.3 Integrated Workflow Verification</w:t>
      </w:r>
      <w:bookmarkEnd w:id="2025"/>
    </w:p>
    <w:p>
      <w:pPr/>
      <w:r>
        <w:t>The 18 October integration record contains 20 acceptance groups and 201 HTTP requests through the frontend proxy. It covers real-model upload, human correction, invalid-image handling, idempotency, task completion, disabled crews and stale plans. In the constructed 20-task case, both planners assigned 12 and reported eight shift-limit exclusions without omitting P1 work.</w:t>
      </w:r>
    </w:p>
    <w:p>
      <w:pPr>
        <w:pStyle w:val="ReportCaption"/>
        <w:keepNext/>
      </w:pPr>
      <w:r>
        <w:t>Table 11. Recorded release checks and workflow boundaries</w:t>
      </w:r>
    </w:p>
    <w:tbl>
      <w:tblPr>
        <w:tblW w:type="auto" w:w="0"/>
        <w:tblLayout w:type="fixed"/>
        <w:tblLook w:firstColumn="1" w:firstRow="1" w:lastColumn="0" w:lastRow="0" w:noHBand="0" w:noVBand="1" w:val="04A0"/>
      </w:tblPr>
      <w:tblGrid>
        <w:gridCol w:w="2664"/>
        <w:gridCol w:w="3168"/>
        <w:gridCol w:w="3528"/>
      </w:tblGrid>
      <w:tr>
        <w:trPr>
          <w:cantSplit/>
          <w:tblHeader/>
        </w:trPr>
        <w:tc>
          <w:tcPr>
            <w:tcW w:type="dxa" w:w="266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Evidence or case</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Recorded result</w:t>
            </w:r>
          </w:p>
        </w:tc>
        <w:tc>
          <w:tcPr>
            <w:tcW w:type="dxa" w:w="35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Interpretation</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HTTP integration</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20 groups / 201 requests</w:t>
            </w:r>
          </w:p>
        </w:tc>
        <w:tc>
          <w:tcPr>
            <w:tcW w:type="dxa" w:w="35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Main workflow through frontend proxy</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Authenticated release d48b877</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973 backend passed / 1 skipped; 152 frontend; 49 CI guardrails</w:t>
            </w:r>
          </w:p>
        </w:tc>
        <w:tc>
          <w:tcPr>
            <w:tcW w:type="dxa" w:w="35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Regression and remote CI evidence</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0.60 / 0.5999; no detection</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Auto task / review; no active task</w:t>
            </w:r>
          </w:p>
        </w:tc>
        <w:tc>
          <w:tcPr>
            <w:tcW w:type="dxa" w:w="35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Controlled branch checks, not model calibration</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Duplicate, stale or conflicting write</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Replay or version conflict</w:t>
            </w:r>
          </w:p>
        </w:tc>
        <w:tc>
          <w:tcPr>
            <w:tcW w:type="dxa" w:w="35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No duplicate task or stale plan acceptance</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Unavailable crew or invalid role</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Explicit unassigned reason or access rejection</w:t>
            </w:r>
          </w:p>
        </w:tc>
        <w:tc>
          <w:tcPr>
            <w:tcW w:type="dxa" w:w="35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Tasks retained; cross-role/crew restrictions</w:t>
            </w:r>
          </w:p>
        </w:tc>
      </w:tr>
    </w:tbl>
    <w:p>
      <w:pPr>
        <w:spacing w:before="120"/>
      </w:pPr>
      <w:r>
        <w:t>The release records in Table 11 have different scopes and are not an overall quality score. Table 12 reconciles evaluation with the original objectives. Injected detections verify rules and confidence branches; they do not establish model accuracy, engineering validity or user productivity.</w:t>
      </w:r>
    </w:p>
    <w:p>
      <w:pPr>
        <w:pStyle w:val="ReportCaption"/>
        <w:keepNext/>
      </w:pPr>
      <w:r>
        <w:t>Table 12. Evaluation coverage against the original project objectives</w:t>
      </w:r>
    </w:p>
    <w:tbl>
      <w:tblPr>
        <w:tblW w:type="auto" w:w="0"/>
        <w:tblLayout w:type="fixed"/>
        <w:tblLook w:firstColumn="1" w:firstRow="1" w:lastColumn="0" w:lastRow="0" w:noHBand="0" w:noVBand="1" w:val="04A0"/>
      </w:tblPr>
      <w:tblGrid>
        <w:gridCol w:w="1944"/>
        <w:gridCol w:w="7272"/>
      </w:tblGrid>
      <w:tr>
        <w:trPr>
          <w:cantSplit/>
          <w:tblHeader/>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Planned area</w:t>
            </w:r>
          </w:p>
        </w:tc>
        <w:tc>
          <w:tcPr>
            <w:tcW w:type="dxa" w:w="72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Delivered evidence and remaining gap</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Image recognition</w:t>
            </w:r>
          </w:p>
        </w:tc>
        <w:tc>
          <w:tcPr>
            <w:tcW w:type="dxa" w:w="72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Validation experiments and historical n10 test; no independent local test of the final model.</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Confidence gate</w:t>
            </w:r>
          </w:p>
        </w:tc>
        <w:tc>
          <w:tcPr>
            <w:tcW w:type="dxa" w:w="72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Boundary, no-detection and replay tests; accepted-case precision and review-rate study remain incomplete.</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Priority rules</w:t>
            </w:r>
          </w:p>
        </w:tc>
        <w:tc>
          <w:tcPr>
            <w:tcW w:type="dxa" w:w="72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Eight labels tested through automatic and corrected-review paths; frozen policies checked, but service assumptions remain unvalidated.</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Route planning</w:t>
            </w:r>
          </w:p>
        </w:tc>
        <w:tc>
          <w:tcPr>
            <w:tcW w:type="dxa" w:w="72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Four-crew 10/15/20-task experiments and explicit replanning; no deadline-based lateness evaluation.</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GPT/RAG</w:t>
            </w:r>
          </w:p>
        </w:tc>
        <w:tc>
          <w:tcPr>
            <w:tcW w:type="dxa" w:w="72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Proposed ten route questions and ten changes were not evaluated because the assistant service is absent.</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Whole system</w:t>
            </w:r>
          </w:p>
        </w:tc>
        <w:tc>
          <w:tcPr>
            <w:tcW w:type="dxa" w:w="72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Dated desktop/HTTP acceptance and separate mobile checks; no measured user-productivity outcome.</w:t>
            </w:r>
          </w:p>
        </w:tc>
      </w:tr>
    </w:tbl>
    <w:p>
      <w:pPr>
        <w:pStyle w:val="Heading1"/>
        <w:pageBreakBefore/>
        <w:jc w:val="left"/>
      </w:pPr>
      <w:bookmarkStart w:id="2026" w:name="_RGI_27"/>
      <w:r>
        <w:t>6 Conclusions and Future Work</w:t>
      </w:r>
      <w:bookmarkEnd w:id="2026"/>
    </w:p>
    <w:p>
      <w:pPr>
        <w:pStyle w:val="Heading2"/>
        <w:pageBreakBefore w:val="0"/>
        <w:jc w:val="left"/>
      </w:pPr>
      <w:bookmarkStart w:id="2027" w:name="_RGI_28"/>
      <w:r>
        <w:t>6.1 Conclusions and Limitations</w:t>
      </w:r>
      <w:bookmarkEnd w:id="2027"/>
    </w:p>
    <w:p>
      <w:pPr/>
      <w:r>
        <w:t>RoadGuard connects visual perception, editable rules and evolutionary scheduling in an executable inspection-to-completion workflow. Human correction and revision checks preserve traceability. Modest recognition gains, improved seeded schedules and the pure-GA failure demonstrate both the value and limits of this integration.</w:t>
      </w:r>
    </w:p>
    <w:p>
      <w:pPr/>
      <w:r>
        <w:t>Reused validation, one training seed, sparse subtypes, one task family and one Google snapshot limit generalisation. Service durations, shift/return policies and objective weights remain assumptions. No exact optimum, statistical significance or measured operational savings are established; independent local validation remains essential.</w:t>
      </w:r>
    </w:p>
    <w:p>
      <w:pPr>
        <w:pStyle w:val="Heading2"/>
        <w:pageBreakBefore w:val="0"/>
        <w:jc w:val="left"/>
      </w:pPr>
      <w:bookmarkStart w:id="2028" w:name="_RGI_29"/>
      <w:r>
        <w:t>6.2 Future Work</w:t>
      </w:r>
      <w:bookmarkEnd w:id="2028"/>
    </w:p>
    <w:p>
      <w:pPr/>
      <w:r>
        <w:t>First, review subtype labels, missed potholes and disputed negatives, recording verified corrections. Add rare-class examples and hard negatives such as patches, wet surfaces, shadows, gravel and manholes. Use phone photographs at the intended moderate distance, retaining road context and all annotated objects while identifying the primary subject.</w:t>
      </w:r>
    </w:p>
    <w:p>
      <w:pPr/>
      <w:r>
        <w:t>Second, freeze an independently labelled local acceptance set, grouping the same location, defect and adjacent frames. Use only training/calibration data to compare sampling, context-preserving augmentation and class-specific calibration, then vary model size or resolution one factor at a time with repeated seeds and latency checks. Preserve recovery checkpoints. Report eight-class P/R, per-class misses, localisation and automatic-acceptance precision/review rate separately. Both P/R targets remain above 70%, without a guaranteed improvement.</w:t>
      </w:r>
    </w:p>
    <w:p>
      <w:pPr/>
      <w:r>
        <w:t>Routing needs verified access, measured service durations, multiple travel periods, independent task sets and bounded or exact small-instance comparisons. Coordinated relocation could address the insertion failure. GPT/RAG requires grounded-answer, citation and confirmed-change evaluation.</w:t>
      </w:r>
    </w:p>
    <w:p>
      <w:pPr>
        <w:spacing w:before="200"/>
      </w:pPr>
      <w:r>
        <w:t>Acknowledgements. The group thanks the NUS-ISS teaching team for feedback on the project scope and crew allocation.</w:t>
      </w:r>
    </w:p>
    <w:p>
      <w:pPr>
        <w:pStyle w:val="Heading1"/>
        <w:pageBreakBefore/>
        <w:jc w:val="left"/>
      </w:pPr>
      <w:bookmarkStart w:id="2013" w:name="_RGI_14"/>
      <w:r>
        <w:t>Appendix A Installation and User Guide</w:t>
      </w:r>
      <w:bookmarkEnd w:id="2013"/>
    </w:p>
    <w:p>
      <w:pPr>
        <w:pStyle w:val="Heading2"/>
        <w:pageBreakBefore w:val="0"/>
        <w:jc w:val="left"/>
      </w:pPr>
      <w:bookmarkStart w:id="2014" w:name="_RGI_15"/>
      <w:r>
        <w:t>A.1 Environment and Dependencies</w:t>
      </w:r>
      <w:bookmarkEnd w:id="2014"/>
    </w:p>
    <w:p>
      <w:pPr>
        <w:spacing/>
        <w:jc w:val="both"/>
      </w:pPr>
      <w:r>
        <w:t>The recorded local acceptance used Windows, Python 3.12.14 and Node 22.23.3; CI uses Python 3.11. The frontend requires Node 22.12 or later within 22.x and npm 10 or later. Clone the private repository with authorised GitHub access. Run the following PowerShell commands from its root. The approved YOLO weight is already in SystemCode/backend/roadguard/model/; Dataset downloads are not required for inference.</w:t>
      </w:r>
    </w:p>
    <w:p>
      <w:pPr>
        <w:pStyle w:val="Code"/>
        <w:keepLines/>
        <w:spacing w:line="288" w:lineRule="auto"/>
        <w:jc w:val="left"/>
      </w:pPr>
      <w:r>
        <w:t>py -3.11 -m venv .venv</w:t>
        <w:br/>
        <w:t>.\.venv\Scripts\python.exe -m pip install -r SystemCode/backend/requirements-ci.txt</w:t>
        <w:br/>
        <w:t>.\.venv\Scripts\python.exe -m pip install -r SystemCode/model/requirements-vision.txt</w:t>
      </w:r>
    </w:p>
    <w:p>
      <w:pPr>
        <w:spacing/>
        <w:jc w:val="both"/>
      </w:pPr>
      <w:r>
        <w:t>The pinned vision requirements include PyTorch, torchvision and Ultralytics. CPU inference was exercised during local acceptance. GPU training has separate CUDA requirements and is not needed for inference. Installation on a fresh machine has not been independently validated.</w:t>
      </w:r>
    </w:p>
    <w:p>
      <w:pPr>
        <w:pStyle w:val="Heading2"/>
        <w:pageBreakBefore w:val="0"/>
        <w:jc w:val="left"/>
      </w:pPr>
      <w:bookmarkStart w:id="2015" w:name="_RGI_16"/>
      <w:r>
        <w:t>A.2 Accounts and Local Configuration</w:t>
      </w:r>
      <w:bookmarkEnd w:id="2015"/>
    </w:p>
    <w:p>
      <w:pPr>
        <w:spacing/>
        <w:jc w:val="both"/>
      </w:pPr>
      <w:r>
        <w:t>No default accounts or shared passwords are shipped. Create an inspector, dispatcher and crew accounts in the same database used by the server. Each command prompts privately for a 12–256-character password. If ROADGUARD_DB_PATH is customised, keep its value identical in provisioning and server terminals.</w:t>
      </w:r>
    </w:p>
    <w:p>
      <w:pPr>
        <w:pStyle w:val="Code"/>
        <w:keepLines/>
        <w:spacing w:line="288" w:lineRule="auto"/>
        <w:jc w:val="left"/>
      </w:pPr>
      <w:r>
        <w:t>$env:PYTHONPATH = 'SystemCode/backend'</w:t>
        <w:br/>
        <w:t>.\.venv\Scripts\python.exe -m roadguard.auth.manage create inspector --role inspector</w:t>
        <w:br/>
        <w:t>.\.venv\Scripts\python.exe -m roadguard.auth.manage create dispatcher --role dispatcher</w:t>
        <w:br/>
        <w:t>.\.venv\Scripts\python.exe -m roadguard.auth.manage create crew02 --role crew --crew crew-02</w:t>
      </w:r>
    </w:p>
    <w:p>
      <w:pPr>
        <w:spacing/>
        <w:jc w:val="both"/>
      </w:pPr>
      <w:r>
        <w:t>Repeat the crew command with distinct usernames and crew-01, crew-03 and crew-04 when those workspaces are needed. Accounts are local database records and are not shared by pulling Git. The default database is SystemCode/backend/data/roadguard.sqlite3. Preserve it and its adjacent uploads directory together.</w:t>
      </w:r>
    </w:p>
    <w:p>
      <w:pPr>
        <w:pStyle w:val="Heading2"/>
        <w:pageBreakBefore w:val="0"/>
        <w:jc w:val="left"/>
      </w:pPr>
      <w:bookmarkStart w:id="2016" w:name="_RGI_17"/>
      <w:r>
        <w:t>A.3 Starting the Application</w:t>
      </w:r>
      <w:bookmarkEnd w:id="2016"/>
    </w:p>
    <w:p>
      <w:pPr>
        <w:pStyle w:val="Code"/>
        <w:keepLines/>
        <w:spacing w:line="288" w:lineRule="auto"/>
        <w:jc w:val="left"/>
      </w:pPr>
      <w:r>
        <w:t>$env:ROADGUARD_TRAVEL_MATRIX_PROVIDER = 'simulated'</w:t>
        <w:br/>
        <w:t>.\.venv\Scripts\python.exe -m uvicorn roadguard.main:app `</w:t>
        <w:br/>
        <w:t xml:space="preserve"> --app-dir SystemCode/backend --host 127.0.0.1 --port 8000</w:t>
      </w:r>
    </w:p>
    <w:p>
      <w:pPr>
        <w:keepNext/>
        <w:spacing/>
        <w:jc w:val="both"/>
      </w:pPr>
      <w:r>
        <w:t>Open a second terminal at the repository root:</w:t>
      </w:r>
    </w:p>
    <w:p>
      <w:pPr>
        <w:pStyle w:val="Code"/>
        <w:keepLines/>
        <w:spacing w:line="288" w:lineRule="auto"/>
        <w:jc w:val="left"/>
      </w:pPr>
      <w:r>
        <w:t>cd SystemCode/frontend</w:t>
        <w:br/>
        <w:t>npm ci</w:t>
        <w:br/>
        <w:t>$env:ROADGUARD_API_TARGET = 'http://127.0.0.1:8000'</w:t>
        <w:br/>
        <w:t>npm run dev</w:t>
      </w:r>
    </w:p>
    <w:p>
      <w:pPr>
        <w:spacing/>
        <w:jc w:val="both"/>
      </w:pPr>
      <w:r>
        <w:t>Open http://127.0.0.1:5173 and sign in. API documentation is at http://127.0.0.1:8000/docs and the public health endpoint is /api/v1/health. Health confirms application/database access only. The model loads lazily on real inference; stop the relevant terminal with Ctrl+C. Do not start a duplicate server on an occupied port.</w:t>
      </w:r>
    </w:p>
    <w:p>
      <w:pPr>
        <w:pStyle w:val="Heading2"/>
        <w:pageBreakBefore w:val="0"/>
        <w:jc w:val="left"/>
      </w:pPr>
      <w:bookmarkStart w:id="2017" w:name="_RGI_18"/>
      <w:r>
        <w:t>A.4 User Workflow</w:t>
      </w:r>
      <w:bookmarkEnd w:id="2017"/>
    </w:p>
    <w:p>
      <w:pPr>
        <w:spacing/>
        <w:jc w:val="both"/>
      </w:pPr>
      <w:r>
        <w:t>1. Sign in as an inspector and open the upload page. Select a JPEG or PNG within 8 MiB and 20 megapixels. Choose real mode for model inference, enter a Jurong position and declare the road type. A test coordinate such as latitude 1.3405 and longitude 103.706 is synthetic unless it is the image’s verified location.</w:t>
      </w:r>
    </w:p>
    <w:p>
      <w:pPr>
        <w:spacing/>
        <w:jc w:val="both"/>
      </w:pPr>
      <w:r>
        <w:t>2. Submit and inspect the result. Upload returns inspection_id, status, detection and task_id. A detection is one object or null. Inspect the detail page for provenance and rule information. A primary raw confidence of at least 0.60 automatically creates one task; a lower-confidence result waits for review; no detection creates no task.</w:t>
      </w:r>
    </w:p>
    <w:p>
      <w:pPr>
        <w:spacing/>
        <w:jc w:val="both"/>
      </w:pPr>
      <w:r>
        <w:t>3. Sign in as the dispatcher. In the review queue, confirm, correct or reject pending evidence. Correcting a label reapplies its stored rules. Accepted work appears in tasks with priority and service minutes. Completion or cancellation retains history while removing it from active planning inputs.</w:t>
      </w:r>
    </w:p>
    <w:p>
      <w:pPr>
        <w:spacing/>
        <w:jc w:val="both"/>
      </w:pPr>
      <w:r>
        <w:t>4. Review four-crew availability and explicitly recalculate from the routes page. Both planners use the current snapshot. Inspect unassigned tasks and reasons, then open the same-round comparison. A stale warning means inputs have changed; do not interpret the old plan as current.</w:t>
      </w:r>
    </w:p>
    <w:p>
      <w:pPr>
        <w:spacing/>
        <w:jc w:val="both"/>
      </w:pPr>
      <w:r>
        <w:t>5. Identify the crew assigned to a task in the latest GA plan, then sign in with an account provisioned for that crew. The example crew02 account can complete only Crew 02 tasks and may be idle. View the assigned task and confirm completion. The server checks assignment and task version. Completion changes the planning input; a dispatcher must explicitly replan. The route-assistant page remains a placeholder.</w:t>
      </w:r>
    </w:p>
    <w:p>
      <w:pPr>
        <w:pStyle w:val="Heading2"/>
        <w:pageBreakBefore w:val="0"/>
        <w:jc w:val="left"/>
      </w:pPr>
      <w:bookmarkStart w:id="2018" w:name="_RGI_19"/>
      <w:r>
        <w:t>A.5 API Testing and Troubleshooting</w:t>
      </w:r>
      <w:bookmarkEnd w:id="2018"/>
    </w:p>
    <w:p>
      <w:pPr>
        <w:spacing/>
        <w:jc w:val="both"/>
      </w:pPr>
      <w:r>
        <w:t>For Swagger, first call POST /api/v1/auth/login with a provisioned username and password. Retain the same host name so the browser keeps the session cookie; copy the returned csrf_token into X-CSRF-Token for modifying requests. GET requests do not require CSRF. Upload uses multipart image plus metadata. Give each new upload a new Idempotency-Key; retry a lost response with the identical image, metadata and same key. A changed payload requires a new submission.</w:t>
      </w:r>
    </w:p>
    <w:p>
      <w:pPr>
        <w:pStyle w:val="Code"/>
        <w:keepLines/>
        <w:spacing w:line="288" w:lineRule="auto"/>
        <w:jc w:val="left"/>
      </w:pPr>
      <w:r>
        <w:t>{"mode":"real","latitude":1.3405,"longitude":103.706,</w:t>
        <w:br/>
        <w:t xml:space="preserve"> "road_type":"public_motor_road"}</w:t>
      </w:r>
    </w:p>
    <w:p>
      <w:pPr>
        <w:pStyle w:val="ReportCaption"/>
        <w:keepNext/>
        <w:jc w:val="left"/>
      </w:pPr>
      <w:r>
        <w:rPr>
          <w:b/>
        </w:rPr>
        <w:t xml:space="preserve">Table A1. </w:t>
      </w:r>
      <w:r>
        <w:t>Common issues</w:t>
      </w:r>
    </w:p>
    <w:tbl>
      <w:tblPr>
        <w:tblW w:type="auto" w:w="0"/>
        <w:tblLayout w:type="fixed"/>
        <w:tblLook w:firstColumn="1" w:firstRow="1" w:lastColumn="0" w:lastRow="0" w:noHBand="0" w:noVBand="1" w:val="04A0"/>
      </w:tblPr>
      <w:tblGrid>
        <w:gridCol w:w="2375"/>
        <w:gridCol w:w="6985"/>
      </w:tblGrid>
      <w:tr>
        <w:trPr>
          <w:cantSplit/>
          <w:tblHeader/>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Symptom</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AEAEA"/>
          </w:tcPr>
          <w:p>
            <w:pPr>
              <w:spacing w:after="40" w:line="264" w:lineRule="auto"/>
              <w:jc w:val="left"/>
            </w:pPr>
            <w:r>
              <w:rPr>
                <w:rFonts w:ascii="Times New Roman" w:hAnsi="Times New Roman"/>
                <w:b/>
                <w:color w:val="000000"/>
                <w:sz w:val="21"/>
              </w:rPr>
              <w:t>Action</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Connection refused</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Start the backend; match its port to the frontend proxy target.</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401 or 403</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Sign in with the correct role; check session, CSRF and same-host usage.</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Database is locked</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End outstanding database-viewer transactions and disconnect; do not delete the database.</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Real inference unavailable</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Install pinned vision dependencies and check the approved weight/manifest; restart after a failed load.</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Stale plan or 409</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Refresh the current state and explicitly replan or retry with a current version.</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Unassigned task</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Read the recorded reason, including unavailable crews or the shift limit.</w:t>
            </w:r>
          </w:p>
        </w:tc>
      </w:tr>
      <w:tr>
        <w:trPr>
          <w:cantSplit/>
        </w:trPr>
        <w:tc>
          <w:tcPr>
            <w:tcW w:type="dxa" w:w="237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Google error</w:t>
            </w:r>
          </w:p>
        </w:tc>
        <w:tc>
          <w:tcPr>
            <w:tcW w:type="dxa" w:w="698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40" w:line="264" w:lineRule="auto"/>
              <w:jc w:val="left"/>
            </w:pPr>
            <w:r>
              <w:rPr>
                <w:rFonts w:ascii="Times New Roman" w:hAnsi="Times New Roman"/>
                <w:b w:val="0"/>
                <w:color w:val="000000"/>
                <w:sz w:val="21"/>
              </w:rPr>
              <w:t>Check server-side credentials/service access; errors do not silently become simulation.</w:t>
            </w:r>
          </w:p>
        </w:tc>
      </w:tr>
    </w:tbl>
    <w:p>
      <w:pPr>
        <w:pStyle w:val="Heading2"/>
        <w:pageBreakBefore w:val="0"/>
        <w:jc w:val="left"/>
      </w:pPr>
      <w:bookmarkStart w:id="2019" w:name="_RGI_20"/>
      <w:r>
        <w:t>A.6 Optional Travel Time Provider</w:t>
      </w:r>
      <w:bookmarkEnd w:id="2019"/>
    </w:p>
    <w:p>
      <w:pPr/>
      <w:r>
        <w:t>To use Google travel estimates, configure the following backend environment variables privately:</w:t>
      </w:r>
    </w:p>
    <w:p>
      <w:pPr>
        <w:pStyle w:val="Code"/>
        <w:jc w:val="left"/>
      </w:pPr>
      <w:r>
        <w:t>ROADGUARD_TRAVEL_MATRIX_PROVIDER=google_routes</w:t>
        <w:br/>
        <w:t>ROADGUARD_GOOGLE_MAPS_API_KEY=&lt;your private key&gt;</w:t>
      </w:r>
    </w:p>
    <w:p>
      <w:pPr/>
      <w:r>
        <w:t>Restart the backend and explicitly recalculate. Provider usage may incur charges. The current implementation uses traffic-unaware driving estimates and schematic map segments; old plans retain their original source. Keep the key out of the report and frontend.</w:t>
      </w:r>
    </w:p>
    <w:p>
      <w:pPr>
        <w:pStyle w:val="Heading1"/>
        <w:pageBreakBefore/>
      </w:pPr>
      <w:bookmarkStart w:id="2029" w:name="appendix_b_proposal"/>
      <w:r>
        <w:t>Appendix B Submitted Project Proposal</w:t>
      </w:r>
      <w:bookmarkEnd w:id="2029"/>
    </w:p>
    <w:p>
      <w:r>
        <w:t>The final submitted proposal is reproduced in full below, including its original contents, diagrams and pagination. It records the planned two-crew system, rather than completed functionality. Section 1.3 documents scope changes, and Section 5.3 compares the planned evaluation with delivered evidence. The report footer provides continuous page numbering.</w:t>
      </w:r>
    </w:p>
    <w:p>
      <w:pPr>
        <w:pStyle w:val="TableNote"/>
        <w:keepNext/>
        <w:pageBreakBefore w:val="0"/>
        <w:spacing w:before="0" w:after="60" w:line="240" w:lineRule="auto"/>
      </w:pPr>
      <w:r>
        <w:rPr>
          <w:i/>
          <w:sz w:val="18"/>
        </w:rPr>
        <w:t>Submitted proposal - source page 1 of 13</w:t>
      </w:r>
    </w:p>
    <w:p>
      <w:pPr>
        <w:spacing w:before="0" w:after="0" w:line="240" w:lineRule="auto"/>
        <w:jc w:val="center"/>
      </w:pPr>
      <w:r>
        <w:drawing>
          <wp:inline xmlns:a="http://schemas.openxmlformats.org/drawingml/2006/main" xmlns:pic="http://schemas.openxmlformats.org/drawingml/2006/picture">
            <wp:extent cx="5943600" cy="5197026"/>
            <wp:docPr id="4" name="Picture 4" descr="Final submitted RoadGuard proposal, original page 1 of 13. The original PDF is archived in ProjectReport/Proposal/RoadGuard_ProjectProposal.pdf."/>
            <wp:cNvGraphicFramePr>
              <a:graphicFrameLocks noChangeAspect="1"/>
            </wp:cNvGraphicFramePr>
            <a:graphic>
              <a:graphicData uri="http://schemas.openxmlformats.org/drawingml/2006/picture">
                <pic:pic>
                  <pic:nvPicPr>
                    <pic:cNvPr id="0" name="page-01.png"/>
                    <pic:cNvPicPr/>
                  </pic:nvPicPr>
                  <pic:blipFill>
                    <a:blip r:embed="rId12"/>
                    <a:stretch>
                      <a:fillRect/>
                    </a:stretch>
                  </pic:blipFill>
                  <pic:spPr>
                    <a:xfrm>
                      <a:off x="0" y="0"/>
                      <a:ext cx="5943600" cy="5197026"/>
                    </a:xfrm>
                    <a:prstGeom prst="rect"/>
                  </pic:spPr>
                </pic:pic>
              </a:graphicData>
            </a:graphic>
          </wp:inline>
        </w:drawing>
      </w:r>
    </w:p>
    <w:p>
      <w:pPr>
        <w:pStyle w:val="TableNote"/>
        <w:keepNext/>
        <w:pageBreakBefore/>
        <w:spacing w:before="0" w:after="60" w:line="240" w:lineRule="auto"/>
      </w:pPr>
      <w:r>
        <w:rPr>
          <w:i/>
          <w:sz w:val="18"/>
        </w:rPr>
        <w:t>Submitted proposal - source page 2 of 13</w:t>
      </w:r>
    </w:p>
    <w:p>
      <w:pPr>
        <w:spacing w:before="0" w:after="0" w:line="240" w:lineRule="auto"/>
        <w:jc w:val="center"/>
      </w:pPr>
      <w:r>
        <w:drawing>
          <wp:inline xmlns:a="http://schemas.openxmlformats.org/drawingml/2006/main" xmlns:pic="http://schemas.openxmlformats.org/drawingml/2006/picture">
            <wp:extent cx="5591788" cy="8046720"/>
            <wp:docPr id="5" name="Picture 5" descr="Final submitted RoadGuard proposal, original page 2 of 13. The original PDF is archived in ProjectReport/Proposal/RoadGuard_ProjectProposal.pdf."/>
            <wp:cNvGraphicFramePr>
              <a:graphicFrameLocks noChangeAspect="1"/>
            </wp:cNvGraphicFramePr>
            <a:graphic>
              <a:graphicData uri="http://schemas.openxmlformats.org/drawingml/2006/picture">
                <pic:pic>
                  <pic:nvPicPr>
                    <pic:cNvPr id="0" name="page-02.png"/>
                    <pic:cNvPicPr/>
                  </pic:nvPicPr>
                  <pic:blipFill>
                    <a:blip r:embed="rId16"/>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3 of 13</w:t>
      </w:r>
    </w:p>
    <w:p>
      <w:pPr>
        <w:spacing w:before="0" w:after="0" w:line="240" w:lineRule="auto"/>
        <w:jc w:val="center"/>
      </w:pPr>
      <w:r>
        <w:drawing>
          <wp:inline xmlns:a="http://schemas.openxmlformats.org/drawingml/2006/main" xmlns:pic="http://schemas.openxmlformats.org/drawingml/2006/picture">
            <wp:extent cx="5591788" cy="8046720"/>
            <wp:docPr id="6" name="Picture 6" descr="Final submitted RoadGuard proposal, original page 3 of 13. The original PDF is archived in ProjectReport/Proposal/RoadGuard_ProjectProposal.pdf."/>
            <wp:cNvGraphicFramePr>
              <a:graphicFrameLocks noChangeAspect="1"/>
            </wp:cNvGraphicFramePr>
            <a:graphic>
              <a:graphicData uri="http://schemas.openxmlformats.org/drawingml/2006/picture">
                <pic:pic>
                  <pic:nvPicPr>
                    <pic:cNvPr id="0" name="page-03.png"/>
                    <pic:cNvPicPr/>
                  </pic:nvPicPr>
                  <pic:blipFill>
                    <a:blip r:embed="rId17"/>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4 of 13</w:t>
      </w:r>
    </w:p>
    <w:p>
      <w:pPr>
        <w:spacing w:before="0" w:after="0" w:line="240" w:lineRule="auto"/>
        <w:jc w:val="center"/>
      </w:pPr>
      <w:r>
        <w:drawing>
          <wp:inline xmlns:a="http://schemas.openxmlformats.org/drawingml/2006/main" xmlns:pic="http://schemas.openxmlformats.org/drawingml/2006/picture">
            <wp:extent cx="5591788" cy="8046720"/>
            <wp:docPr id="7" name="Picture 7" descr="Final submitted RoadGuard proposal, original page 4 of 13. The original PDF is archived in ProjectReport/Proposal/RoadGuard_ProjectProposal.pdf."/>
            <wp:cNvGraphicFramePr>
              <a:graphicFrameLocks noChangeAspect="1"/>
            </wp:cNvGraphicFramePr>
            <a:graphic>
              <a:graphicData uri="http://schemas.openxmlformats.org/drawingml/2006/picture">
                <pic:pic>
                  <pic:nvPicPr>
                    <pic:cNvPr id="0" name="page-04.png"/>
                    <pic:cNvPicPr/>
                  </pic:nvPicPr>
                  <pic:blipFill>
                    <a:blip r:embed="rId18"/>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5 of 13</w:t>
      </w:r>
    </w:p>
    <w:p>
      <w:pPr>
        <w:spacing w:before="0" w:after="0" w:line="240" w:lineRule="auto"/>
        <w:jc w:val="center"/>
      </w:pPr>
      <w:r>
        <w:drawing>
          <wp:inline xmlns:a="http://schemas.openxmlformats.org/drawingml/2006/main" xmlns:pic="http://schemas.openxmlformats.org/drawingml/2006/picture">
            <wp:extent cx="5591788" cy="8046720"/>
            <wp:docPr id="8" name="Picture 8" descr="Final submitted RoadGuard proposal, original page 5 of 13. The original PDF is archived in ProjectReport/Proposal/RoadGuard_ProjectProposal.pdf."/>
            <wp:cNvGraphicFramePr>
              <a:graphicFrameLocks noChangeAspect="1"/>
            </wp:cNvGraphicFramePr>
            <a:graphic>
              <a:graphicData uri="http://schemas.openxmlformats.org/drawingml/2006/picture">
                <pic:pic>
                  <pic:nvPicPr>
                    <pic:cNvPr id="0" name="page-05.png"/>
                    <pic:cNvPicPr/>
                  </pic:nvPicPr>
                  <pic:blipFill>
                    <a:blip r:embed="rId19"/>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6 of 13</w:t>
      </w:r>
    </w:p>
    <w:p>
      <w:pPr>
        <w:spacing w:before="0" w:after="0" w:line="240" w:lineRule="auto"/>
        <w:jc w:val="center"/>
      </w:pPr>
      <w:r>
        <w:drawing>
          <wp:inline xmlns:a="http://schemas.openxmlformats.org/drawingml/2006/main" xmlns:pic="http://schemas.openxmlformats.org/drawingml/2006/picture">
            <wp:extent cx="5591788" cy="8046720"/>
            <wp:docPr id="9" name="Picture 9" descr="Final submitted RoadGuard proposal, original page 6 of 13. The original PDF is archived in ProjectReport/Proposal/RoadGuard_ProjectProposal.pdf."/>
            <wp:cNvGraphicFramePr>
              <a:graphicFrameLocks noChangeAspect="1"/>
            </wp:cNvGraphicFramePr>
            <a:graphic>
              <a:graphicData uri="http://schemas.openxmlformats.org/drawingml/2006/picture">
                <pic:pic>
                  <pic:nvPicPr>
                    <pic:cNvPr id="0" name="page-06.png"/>
                    <pic:cNvPicPr/>
                  </pic:nvPicPr>
                  <pic:blipFill>
                    <a:blip r:embed="rId20"/>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7 of 13</w:t>
      </w:r>
    </w:p>
    <w:p>
      <w:pPr>
        <w:spacing w:before="0" w:after="0" w:line="240" w:lineRule="auto"/>
        <w:jc w:val="center"/>
      </w:pPr>
      <w:r>
        <w:drawing>
          <wp:inline xmlns:a="http://schemas.openxmlformats.org/drawingml/2006/main" xmlns:pic="http://schemas.openxmlformats.org/drawingml/2006/picture">
            <wp:extent cx="5591788" cy="8046720"/>
            <wp:docPr id="10" name="Picture 10" descr="Final submitted RoadGuard proposal, original page 7 of 13. The original PDF is archived in ProjectReport/Proposal/RoadGuard_ProjectProposal.pdf."/>
            <wp:cNvGraphicFramePr>
              <a:graphicFrameLocks noChangeAspect="1"/>
            </wp:cNvGraphicFramePr>
            <a:graphic>
              <a:graphicData uri="http://schemas.openxmlformats.org/drawingml/2006/picture">
                <pic:pic>
                  <pic:nvPicPr>
                    <pic:cNvPr id="0" name="page-07.png"/>
                    <pic:cNvPicPr/>
                  </pic:nvPicPr>
                  <pic:blipFill>
                    <a:blip r:embed="rId21"/>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8 of 13</w:t>
      </w:r>
    </w:p>
    <w:p>
      <w:pPr>
        <w:spacing w:before="0" w:after="0" w:line="240" w:lineRule="auto"/>
        <w:jc w:val="center"/>
      </w:pPr>
      <w:r>
        <w:drawing>
          <wp:inline xmlns:a="http://schemas.openxmlformats.org/drawingml/2006/main" xmlns:pic="http://schemas.openxmlformats.org/drawingml/2006/picture">
            <wp:extent cx="5591788" cy="8046720"/>
            <wp:docPr id="11" name="Picture 11" descr="Final submitted RoadGuard proposal, original page 8 of 13. The original PDF is archived in ProjectReport/Proposal/RoadGuard_ProjectProposal.pdf."/>
            <wp:cNvGraphicFramePr>
              <a:graphicFrameLocks noChangeAspect="1"/>
            </wp:cNvGraphicFramePr>
            <a:graphic>
              <a:graphicData uri="http://schemas.openxmlformats.org/drawingml/2006/picture">
                <pic:pic>
                  <pic:nvPicPr>
                    <pic:cNvPr id="0" name="page-08.png"/>
                    <pic:cNvPicPr/>
                  </pic:nvPicPr>
                  <pic:blipFill>
                    <a:blip r:embed="rId22"/>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9 of 13</w:t>
      </w:r>
    </w:p>
    <w:p>
      <w:pPr>
        <w:spacing w:before="0" w:after="0" w:line="240" w:lineRule="auto"/>
        <w:jc w:val="center"/>
      </w:pPr>
      <w:r>
        <w:drawing>
          <wp:inline xmlns:a="http://schemas.openxmlformats.org/drawingml/2006/main" xmlns:pic="http://schemas.openxmlformats.org/drawingml/2006/picture">
            <wp:extent cx="5591788" cy="8046720"/>
            <wp:docPr id="12" name="Picture 12" descr="Final submitted RoadGuard proposal, original page 9 of 13. The original PDF is archived in ProjectReport/Proposal/RoadGuard_ProjectProposal.pdf."/>
            <wp:cNvGraphicFramePr>
              <a:graphicFrameLocks noChangeAspect="1"/>
            </wp:cNvGraphicFramePr>
            <a:graphic>
              <a:graphicData uri="http://schemas.openxmlformats.org/drawingml/2006/picture">
                <pic:pic>
                  <pic:nvPicPr>
                    <pic:cNvPr id="0" name="page-09.png"/>
                    <pic:cNvPicPr/>
                  </pic:nvPicPr>
                  <pic:blipFill>
                    <a:blip r:embed="rId23"/>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10 of 13</w:t>
      </w:r>
    </w:p>
    <w:p>
      <w:pPr>
        <w:spacing w:before="0" w:after="0" w:line="240" w:lineRule="auto"/>
        <w:jc w:val="center"/>
      </w:pPr>
      <w:r>
        <w:drawing>
          <wp:inline xmlns:a="http://schemas.openxmlformats.org/drawingml/2006/main" xmlns:pic="http://schemas.openxmlformats.org/drawingml/2006/picture">
            <wp:extent cx="5591788" cy="8046720"/>
            <wp:docPr id="13" name="Picture 13" descr="Final submitted RoadGuard proposal, original page 10 of 13. The original PDF is archived in ProjectReport/Proposal/RoadGuard_ProjectProposal.pdf."/>
            <wp:cNvGraphicFramePr>
              <a:graphicFrameLocks noChangeAspect="1"/>
            </wp:cNvGraphicFramePr>
            <a:graphic>
              <a:graphicData uri="http://schemas.openxmlformats.org/drawingml/2006/picture">
                <pic:pic>
                  <pic:nvPicPr>
                    <pic:cNvPr id="0" name="page-10.png"/>
                    <pic:cNvPicPr/>
                  </pic:nvPicPr>
                  <pic:blipFill>
                    <a:blip r:embed="rId24"/>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11 of 13</w:t>
      </w:r>
    </w:p>
    <w:p>
      <w:pPr>
        <w:spacing w:before="0" w:after="0" w:line="240" w:lineRule="auto"/>
        <w:jc w:val="center"/>
      </w:pPr>
      <w:r>
        <w:drawing>
          <wp:inline xmlns:a="http://schemas.openxmlformats.org/drawingml/2006/main" xmlns:pic="http://schemas.openxmlformats.org/drawingml/2006/picture">
            <wp:extent cx="5591788" cy="8046720"/>
            <wp:docPr id="14" name="Picture 14" descr="Final submitted RoadGuard proposal, original page 11 of 13. The original PDF is archived in ProjectReport/Proposal/RoadGuard_ProjectProposal.pdf."/>
            <wp:cNvGraphicFramePr>
              <a:graphicFrameLocks noChangeAspect="1"/>
            </wp:cNvGraphicFramePr>
            <a:graphic>
              <a:graphicData uri="http://schemas.openxmlformats.org/drawingml/2006/picture">
                <pic:pic>
                  <pic:nvPicPr>
                    <pic:cNvPr id="0" name="page-11.png"/>
                    <pic:cNvPicPr/>
                  </pic:nvPicPr>
                  <pic:blipFill>
                    <a:blip r:embed="rId25"/>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12 of 13</w:t>
      </w:r>
    </w:p>
    <w:p>
      <w:pPr>
        <w:spacing w:before="0" w:after="0" w:line="240" w:lineRule="auto"/>
        <w:jc w:val="center"/>
      </w:pPr>
      <w:r>
        <w:drawing>
          <wp:inline xmlns:a="http://schemas.openxmlformats.org/drawingml/2006/main" xmlns:pic="http://schemas.openxmlformats.org/drawingml/2006/picture">
            <wp:extent cx="5591788" cy="8046720"/>
            <wp:docPr id="15" name="Picture 15" descr="Final submitted RoadGuard proposal, original page 12 of 13. The original PDF is archived in ProjectReport/Proposal/RoadGuard_ProjectProposal.pdf."/>
            <wp:cNvGraphicFramePr>
              <a:graphicFrameLocks noChangeAspect="1"/>
            </wp:cNvGraphicFramePr>
            <a:graphic>
              <a:graphicData uri="http://schemas.openxmlformats.org/drawingml/2006/picture">
                <pic:pic>
                  <pic:nvPicPr>
                    <pic:cNvPr id="0" name="page-12.png"/>
                    <pic:cNvPicPr/>
                  </pic:nvPicPr>
                  <pic:blipFill>
                    <a:blip r:embed="rId26"/>
                    <a:stretch>
                      <a:fillRect/>
                    </a:stretch>
                  </pic:blipFill>
                  <pic:spPr>
                    <a:xfrm>
                      <a:off x="0" y="0"/>
                      <a:ext cx="5591788" cy="8046720"/>
                    </a:xfrm>
                    <a:prstGeom prst="rect"/>
                  </pic:spPr>
                </pic:pic>
              </a:graphicData>
            </a:graphic>
          </wp:inline>
        </w:drawing>
      </w:r>
    </w:p>
    <w:p>
      <w:pPr>
        <w:pStyle w:val="TableNote"/>
        <w:keepNext/>
        <w:pageBreakBefore/>
        <w:spacing w:before="0" w:after="60" w:line="240" w:lineRule="auto"/>
      </w:pPr>
      <w:r>
        <w:rPr>
          <w:i/>
          <w:sz w:val="18"/>
        </w:rPr>
        <w:t>Submitted proposal - source page 13 of 13</w:t>
      </w:r>
    </w:p>
    <w:p>
      <w:pPr>
        <w:spacing w:before="0" w:after="0" w:line="240" w:lineRule="auto"/>
        <w:jc w:val="center"/>
      </w:pPr>
      <w:r>
        <w:drawing>
          <wp:inline xmlns:a="http://schemas.openxmlformats.org/drawingml/2006/main" xmlns:pic="http://schemas.openxmlformats.org/drawingml/2006/picture">
            <wp:extent cx="5591788" cy="8046720"/>
            <wp:docPr id="16" name="Picture 16" descr="Final submitted RoadGuard proposal, original page 13 of 13. The original PDF is archived in ProjectReport/Proposal/RoadGuard_ProjectProposal.pdf."/>
            <wp:cNvGraphicFramePr>
              <a:graphicFrameLocks noChangeAspect="1"/>
            </wp:cNvGraphicFramePr>
            <a:graphic>
              <a:graphicData uri="http://schemas.openxmlformats.org/drawingml/2006/picture">
                <pic:pic>
                  <pic:nvPicPr>
                    <pic:cNvPr id="0" name="page-13.png"/>
                    <pic:cNvPicPr/>
                  </pic:nvPicPr>
                  <pic:blipFill>
                    <a:blip r:embed="rId27"/>
                    <a:stretch>
                      <a:fillRect/>
                    </a:stretch>
                  </pic:blipFill>
                  <pic:spPr>
                    <a:xfrm>
                      <a:off x="0" y="0"/>
                      <a:ext cx="5591788" cy="8046720"/>
                    </a:xfrm>
                    <a:prstGeom prst="rect"/>
                  </pic:spPr>
                </pic:pic>
              </a:graphicData>
            </a:graphic>
          </wp:inline>
        </w:drawing>
      </w:r>
    </w:p>
    <w:p>
      <w:pPr>
        <w:pStyle w:val="Heading1"/>
        <w:pageBreakBefore/>
      </w:pPr>
      <w:bookmarkStart w:id="2030" w:name="appendix_c_mapping"/>
      <w:r>
        <w:t>Appendix C Course Functionality Mapping</w:t>
      </w:r>
      <w:bookmarkEnd w:id="2030"/>
    </w:p>
    <w:p>
      <w:r>
        <w:t>Table C1 maps implemented functions to the MR, RS and CGS course content and the three applicable technique groups in the practice briefing. It indexes the design and evaluation in the main report without repeating experimental results.</w:t>
      </w:r>
    </w:p>
    <w:p>
      <w:pPr>
        <w:pStyle w:val="ReportCaption"/>
        <w:keepNext/>
      </w:pPr>
      <w:r>
        <w:t>Table C1. Course content applied in the delivered system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1584"/>
        <w:gridCol w:w="2592"/>
        <w:gridCol w:w="2376"/>
        <w:gridCol w:w="2808"/>
      </w:tblGrid>
      <w:tr>
        <w:trPr>
          <w:cantSplit/>
          <w:tblHeader/>
        </w:trPr>
        <w:tc>
          <w:tcPr>
            <w:tcW w:type="dxa" w:w="1584"/>
            <w:vAlign w:val="center"/>
            <w:shd w:fill="EAEAEA"/>
          </w:tcPr>
          <w:p>
            <w:pPr>
              <w:spacing w:before="0" w:after="0" w:line="259" w:lineRule="auto"/>
              <w:jc w:val="left"/>
            </w:pPr>
            <w:r>
              <w:rPr>
                <w:rFonts w:ascii="Times New Roman" w:hAnsi="Times New Roman"/>
                <w:b/>
                <w:color w:val="000000"/>
                <w:sz w:val="21"/>
              </w:rPr>
              <w:t>Course and technique</w:t>
            </w:r>
          </w:p>
        </w:tc>
        <w:tc>
          <w:tcPr>
            <w:tcW w:type="dxa" w:w="2592"/>
            <w:vAlign w:val="center"/>
            <w:shd w:fill="EAEAEA"/>
          </w:tcPr>
          <w:p>
            <w:pPr>
              <w:spacing w:before="0" w:after="0" w:line="259" w:lineRule="auto"/>
              <w:jc w:val="left"/>
            </w:pPr>
            <w:r>
              <w:rPr>
                <w:rFonts w:ascii="Times New Roman" w:hAnsi="Times New Roman"/>
                <w:b/>
                <w:color w:val="000000"/>
                <w:sz w:val="21"/>
              </w:rPr>
              <w:t>Applied function</w:t>
            </w:r>
          </w:p>
        </w:tc>
        <w:tc>
          <w:tcPr>
            <w:tcW w:type="dxa" w:w="2376"/>
            <w:vAlign w:val="center"/>
            <w:shd w:fill="EAEAEA"/>
          </w:tcPr>
          <w:p>
            <w:pPr>
              <w:spacing w:before="0" w:after="0" w:line="259" w:lineRule="auto"/>
              <w:jc w:val="left"/>
            </w:pPr>
            <w:r>
              <w:rPr>
                <w:rFonts w:ascii="Times New Roman" w:hAnsi="Times New Roman"/>
                <w:b/>
                <w:color w:val="000000"/>
                <w:sz w:val="21"/>
              </w:rPr>
              <w:t>Implementation evidence</w:t>
            </w:r>
          </w:p>
        </w:tc>
        <w:tc>
          <w:tcPr>
            <w:tcW w:type="dxa" w:w="2808"/>
            <w:vAlign w:val="center"/>
            <w:shd w:fill="EAEAEA"/>
          </w:tcPr>
          <w:p>
            <w:pPr>
              <w:spacing w:before="0" w:after="0" w:line="259" w:lineRule="auto"/>
              <w:jc w:val="left"/>
            </w:pPr>
            <w:r>
              <w:rPr>
                <w:rFonts w:ascii="Times New Roman" w:hAnsi="Times New Roman"/>
                <w:b/>
                <w:color w:val="000000"/>
                <w:sz w:val="21"/>
              </w:rPr>
              <w:t>Verification and limits</w:t>
            </w:r>
          </w:p>
        </w:tc>
      </w:tr>
      <w:tr>
        <w:trPr>
          <w:cantSplit/>
        </w:trPr>
        <w:tc>
          <w:tcPr>
            <w:tcW w:type="dxa" w:w="1584"/>
            <w:vAlign w:val="center"/>
          </w:tcPr>
          <w:p>
            <w:pPr>
              <w:spacing w:before="0" w:after="0" w:line="259" w:lineRule="auto"/>
              <w:jc w:val="left"/>
            </w:pPr>
            <w:r>
              <w:rPr>
                <w:rFonts w:ascii="Times New Roman" w:hAnsi="Times New Roman"/>
                <w:b w:val="0"/>
                <w:color w:val="000000"/>
                <w:sz w:val="21"/>
              </w:rPr>
              <w:t>MR</w:t>
              <w:br/>
              <w:t>Decision automation</w:t>
            </w:r>
          </w:p>
        </w:tc>
        <w:tc>
          <w:tcPr>
            <w:tcW w:type="dxa" w:w="2592"/>
            <w:vAlign w:val="center"/>
          </w:tcPr>
          <w:p>
            <w:pPr>
              <w:spacing w:before="0" w:after="0" w:line="259" w:lineRule="auto"/>
              <w:jc w:val="left"/>
            </w:pPr>
            <w:r>
              <w:rPr>
                <w:rFonts w:ascii="Times New Roman" w:hAnsi="Times New Roman"/>
                <w:b w:val="0"/>
                <w:color w:val="000000"/>
                <w:sz w:val="21"/>
              </w:rPr>
              <w:t>Confidence routing, label-to-priority and service rules, and review correction. Accepted evidence becomes one repair task.</w:t>
            </w:r>
          </w:p>
        </w:tc>
        <w:tc>
          <w:tcPr>
            <w:tcW w:type="dxa" w:w="2376"/>
            <w:vAlign w:val="center"/>
          </w:tcPr>
          <w:p>
            <w:pPr>
              <w:spacing w:before="0" w:after="0" w:line="259" w:lineRule="auto"/>
              <w:jc w:val="left"/>
            </w:pPr>
            <w:r>
              <w:rPr>
                <w:rFonts w:ascii="Times New Roman" w:hAnsi="Times New Roman"/>
                <w:b w:val="0"/>
                <w:color w:val="000000"/>
                <w:sz w:val="21"/>
              </w:rPr>
              <w:t>Versioned configuration, stored rule snapshots and decision traces; rules, inspections and tasks modules.</w:t>
            </w:r>
          </w:p>
        </w:tc>
        <w:tc>
          <w:tcPr>
            <w:tcW w:type="dxa" w:w="2808"/>
            <w:vAlign w:val="center"/>
          </w:tcPr>
          <w:p>
            <w:pPr>
              <w:spacing w:before="0" w:after="0" w:line="259" w:lineRule="auto"/>
              <w:jc w:val="left"/>
            </w:pPr>
            <w:r>
              <w:rPr>
                <w:rFonts w:ascii="Times New Roman" w:hAnsi="Times New Roman"/>
                <w:b w:val="0"/>
                <w:color w:val="000000"/>
                <w:sz w:val="21"/>
              </w:rPr>
              <w:t>Sections 2, 3.2 and 5.3: boundary, no-detection, correction and replay checks. Service durations remain project assumptions.</w:t>
            </w:r>
          </w:p>
        </w:tc>
      </w:tr>
      <w:tr>
        <w:trPr>
          <w:cantSplit/>
        </w:trPr>
        <w:tc>
          <w:tcPr>
            <w:tcW w:type="dxa" w:w="1584"/>
            <w:vAlign w:val="center"/>
          </w:tcPr>
          <w:p>
            <w:pPr>
              <w:spacing w:before="0" w:after="0" w:line="259" w:lineRule="auto"/>
              <w:jc w:val="left"/>
            </w:pPr>
            <w:r>
              <w:rPr>
                <w:rFonts w:ascii="Times New Roman" w:hAnsi="Times New Roman"/>
                <w:b w:val="0"/>
                <w:color w:val="000000"/>
                <w:sz w:val="21"/>
              </w:rPr>
              <w:t>RS</w:t>
              <w:br/>
              <w:t>Evolutionary resource optimisation</w:t>
            </w:r>
          </w:p>
        </w:tc>
        <w:tc>
          <w:tcPr>
            <w:tcW w:type="dxa" w:w="2592"/>
            <w:vAlign w:val="center"/>
          </w:tcPr>
          <w:p>
            <w:pPr>
              <w:spacing w:before="0" w:after="0" w:line="259" w:lineRule="auto"/>
              <w:jc w:val="left"/>
            </w:pPr>
            <w:r>
              <w:rPr>
                <w:rFonts w:ascii="Times New Roman" w:hAnsi="Times New Roman"/>
                <w:b w:val="0"/>
                <w:color w:val="000000"/>
                <w:sz w:val="21"/>
              </w:rPr>
              <w:t>Four-crew task assignment and visit ordering. Priority-first coverage precedes a weighted completion, travel and workload objective.</w:t>
            </w:r>
          </w:p>
        </w:tc>
        <w:tc>
          <w:tcPr>
            <w:tcW w:type="dxa" w:w="2376"/>
            <w:vAlign w:val="center"/>
          </w:tcPr>
          <w:p>
            <w:pPr>
              <w:spacing w:before="0" w:after="0" w:line="259" w:lineRule="auto"/>
              <w:jc w:val="left"/>
            </w:pPr>
            <w:r>
              <w:rPr>
                <w:rFonts w:ascii="Times New Roman" w:hAnsi="Times New Roman"/>
                <w:b w:val="0"/>
                <w:color w:val="000000"/>
                <w:sz w:val="21"/>
              </w:rPr>
              <w:t>Group-built GA: encoding, selection, crossover, mutation and elitism. GA and Greedy share the evaluator, task snapshot and matrix.</w:t>
            </w:r>
          </w:p>
        </w:tc>
        <w:tc>
          <w:tcPr>
            <w:tcW w:type="dxa" w:w="2808"/>
            <w:vAlign w:val="center"/>
          </w:tcPr>
          <w:p>
            <w:pPr>
              <w:spacing w:before="0" w:after="0" w:line="259" w:lineRule="auto"/>
              <w:jc w:val="left"/>
            </w:pPr>
            <w:r>
              <w:rPr>
                <w:rFonts w:ascii="Times New Roman" w:hAnsi="Times New Roman"/>
                <w:b w:val="0"/>
                <w:color w:val="000000"/>
                <w:sz w:val="21"/>
              </w:rPr>
              <w:t>Sections 3.2, 4 and 5.2: 10/15/20 tasks, multiple seeds, seeding ablation and unassigned-task failure analysis. Optimality is not established.</w:t>
            </w:r>
          </w:p>
        </w:tc>
      </w:tr>
      <w:tr>
        <w:trPr>
          <w:cantSplit/>
        </w:trPr>
        <w:tc>
          <w:tcPr>
            <w:tcW w:type="dxa" w:w="1584"/>
            <w:vAlign w:val="center"/>
          </w:tcPr>
          <w:p>
            <w:pPr>
              <w:spacing w:before="0" w:after="0" w:line="259" w:lineRule="auto"/>
              <w:jc w:val="left"/>
            </w:pPr>
            <w:r>
              <w:rPr>
                <w:rFonts w:ascii="Times New Roman" w:hAnsi="Times New Roman"/>
                <w:b w:val="0"/>
                <w:color w:val="000000"/>
                <w:sz w:val="21"/>
              </w:rPr>
              <w:t>CGS</w:t>
              <w:br/>
              <w:t>Learned visual perception</w:t>
            </w:r>
          </w:p>
        </w:tc>
        <w:tc>
          <w:tcPr>
            <w:tcW w:type="dxa" w:w="2592"/>
            <w:vAlign w:val="center"/>
          </w:tcPr>
          <w:p>
            <w:pPr>
              <w:spacing w:before="0" w:after="0" w:line="259" w:lineRule="auto"/>
              <w:jc w:val="left"/>
            </w:pPr>
            <w:r>
              <w:rPr>
                <w:rFonts w:ascii="Times New Roman" w:hAnsi="Times New Roman"/>
                <w:b w:val="0"/>
                <w:color w:val="000000"/>
                <w:sz w:val="21"/>
              </w:rPr>
              <w:t>YOLO11s predicts eight damage classes and boxes. Primary-candidate selection supplies a label and confidence to the business rules.</w:t>
            </w:r>
          </w:p>
        </w:tc>
        <w:tc>
          <w:tcPr>
            <w:tcW w:type="dxa" w:w="2376"/>
            <w:vAlign w:val="center"/>
          </w:tcPr>
          <w:p>
            <w:pPr>
              <w:spacing w:before="0" w:after="0" w:line="259" w:lineRule="auto"/>
              <w:jc w:val="left"/>
            </w:pPr>
            <w:r>
              <w:rPr>
                <w:rFonts w:ascii="Times New Roman" w:hAnsi="Times New Roman"/>
                <w:b w:val="0"/>
                <w:color w:val="000000"/>
                <w:sz w:val="21"/>
              </w:rPr>
              <w:t>Grouped data preparation, supervised model training and local checkpoint inference; model and backend vision modules.</w:t>
            </w:r>
          </w:p>
        </w:tc>
        <w:tc>
          <w:tcPr>
            <w:tcW w:type="dxa" w:w="2808"/>
            <w:vAlign w:val="center"/>
          </w:tcPr>
          <w:p>
            <w:pPr>
              <w:spacing w:before="0" w:after="0" w:line="259" w:lineRule="auto"/>
              <w:jc w:val="left"/>
            </w:pPr>
            <w:r>
              <w:rPr>
                <w:rFonts w:ascii="Times New Roman" w:hAnsi="Times New Roman"/>
                <w:b w:val="0"/>
                <w:color w:val="000000"/>
                <w:sz w:val="21"/>
              </w:rPr>
              <w:t>Sections 2, 4 and 5.1: class-aware precision/recall, box metrics and failure audit. Independent local validation of the final model remains outstanding.</w:t>
            </w:r>
          </w:p>
        </w:tc>
      </w:tr>
    </w:tbl>
    <w:p>
      <w:pPr>
        <w:spacing w:before="200"/>
      </w:pPr>
      <w:r>
        <w:t>Coverage boundary. The implemented evidence supports decision automation, resource optimisation and cognitive perception. Database storage, access control and interface display are supporting engineering, not a separate knowledge-discovery technique. The proposed GPT/RAG service has not been implemented or evaluated and is not counted towards delivered course coverage.</w:t>
      </w:r>
    </w:p>
    <w:sectPr>
      <w:headerReference w:type="default" r:id="rId32"/>
      <w:footerReference w:type="default" r:id="rId33"/>
      <w:pgSz w:w="12240" w:h="15840"/>
      <w:pgMar w:top="1296" w:bottom="1296" w:left="1440" w:right="1440" w:header="576" w:footer="576"/>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RoadGuard  |  Group 7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b w:val="0"/>
        <w:i/>
        <w:color w:val="000000"/>
        <w:sz w:val="18"/>
      </w:rPr>
      <w:t>RoadGuard  |  Group 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rPr>
      <w:rFonts w:ascii="Times New Roman" w:hAnsi="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320" w:after="180" w:line="264" w:lineRule="auto"/>
      <w:outlineLvl w:val="0"/>
    </w:pPr>
    <w:rPr>
      <w:rFonts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80" w:line="264" w:lineRule="auto"/>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20" w:after="180" w:line="264" w:lineRule="auto"/>
      <w:outlineLvl w:val="2"/>
    </w:pPr>
    <w:rPr>
      <w:rFonts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rPr>
      <w:rFonts w:ascii="Times New Roman" w:hAnsi="Times New Roman"/>
      <w:color w:val="000000"/>
    </w:rPr>
  </w:style>
  <w:style w:type="table" w:default="1" w:styleId="TableNormal">
    <w:name w:val="Normal Table"/>
    <w:uiPriority w:val="99"/>
    <w:semiHidden/>
    <w:unhideWhenUsed/>
    <w:rPr>
      <w:rFonts w:ascii="Times New Roman" w:hAnsi="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imes New Roman" w:hAnsi="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000000"/>
    </w:rPr>
  </w:style>
  <w:style w:type="paragraph" w:styleId="Title">
    <w:name w:val="Title"/>
    <w:basedOn w:val="Normal"/>
    <w:next w:val="Normal"/>
    <w:link w:val="TitleChar"/>
    <w:uiPriority w:val="10"/>
    <w:qFormat/>
    <w:rsid w:val="00FC693F"/>
    <w:pPr>
      <w:keepNext/>
      <w:spacing w:after="180" w:line="264" w:lineRule="auto" w:before="0"/>
      <w:contextualSpacing/>
    </w:pPr>
    <w:rPr>
      <w:rFonts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imes New Roman" w:hAnsi="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rPr>
      <w:rFonts w:ascii="Times New Roman" w:hAnsi="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rFonts w:ascii="Times New Roman" w:hAnsi="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000000"/>
      <w:sz w:val="20"/>
      <w:szCs w:val="20"/>
    </w:rPr>
  </w:style>
  <w:style w:type="paragraph" w:styleId="Caption">
    <w:name w:val="caption"/>
    <w:basedOn w:val="Normal"/>
    <w:next w:val="Normal"/>
    <w:uiPriority w:val="35"/>
    <w:semiHidden/>
    <w:unhideWhenUsed/>
    <w:qFormat/>
    <w:rsid w:val="00FC693F"/>
    <w:pPr>
      <w:spacing w:line="247" w:lineRule="auto" w:after="160"/>
    </w:pPr>
    <w:rPr>
      <w:rFonts w:ascii="Times New Roman" w:hAnsi="Times New Roman"/>
      <w:b/>
      <w:bCs/>
      <w:i w:val="0"/>
      <w:color w:val="000000"/>
      <w:sz w:val="18"/>
      <w:szCs w:val="18"/>
    </w:rPr>
  </w:style>
  <w:style w:type="character" w:styleId="Strong">
    <w:name w:val="Strong"/>
    <w:basedOn w:val="DefaultParagraphFont"/>
    <w:uiPriority w:val="22"/>
    <w:qFormat/>
    <w:rsid w:val="00FC693F"/>
    <w:rPr>
      <w:rFonts w:ascii="Times New Roman" w:hAnsi="Times New Roman"/>
      <w:b/>
      <w:bCs/>
      <w:color w:val="000000"/>
    </w:rPr>
  </w:style>
  <w:style w:type="character" w:styleId="Emphasis">
    <w:name w:val="Emphasis"/>
    <w:basedOn w:val="DefaultParagraphFont"/>
    <w:uiPriority w:val="20"/>
    <w:qFormat/>
    <w:rsid w:val="00FC693F"/>
    <w:rPr>
      <w:rFonts w:ascii="Times New Roman" w:hAnsi="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rPr>
  </w:style>
  <w:style w:type="character" w:styleId="SubtleEmphasis">
    <w:name w:val="Subtle Emphasis"/>
    <w:basedOn w:val="DefaultParagraphFont"/>
    <w:uiPriority w:val="19"/>
    <w:qFormat/>
    <w:rsid w:val="00FC693F"/>
    <w:rPr>
      <w:rFonts w:ascii="Times New Roman" w:hAnsi="Times New Roman"/>
      <w:i/>
      <w:iCs/>
      <w:color w:val="000000"/>
    </w:rPr>
  </w:style>
  <w:style w:type="character" w:styleId="IntenseEmphasis">
    <w:name w:val="Intense Emphasis"/>
    <w:basedOn w:val="DefaultParagraphFont"/>
    <w:uiPriority w:val="21"/>
    <w:qFormat/>
    <w:rsid w:val="00FC693F"/>
    <w:rPr>
      <w:rFonts w:ascii="Times New Roman" w:hAnsi="Times New Roman"/>
      <w:b/>
      <w:bCs/>
      <w:i/>
      <w:iCs/>
      <w:color w:val="000000"/>
    </w:rPr>
  </w:style>
  <w:style w:type="character" w:styleId="SubtleReference">
    <w:name w:val="Subtle Reference"/>
    <w:basedOn w:val="DefaultParagraphFont"/>
    <w:uiPriority w:val="31"/>
    <w:qFormat/>
    <w:rsid w:val="00FC693F"/>
    <w:rPr>
      <w:rFonts w:ascii="Times New Roman" w:hAnsi="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rPr>
      <w:rFonts w:ascii="Times New Roman" w:hAnsi="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basedOn w:val="Normal"/>
    <w:pPr>
      <w:spacing w:line="264" w:lineRule="auto" w:after="120" w:before="160"/>
    </w:pPr>
    <w:rPr>
      <w:rFonts w:ascii="Times New Roman" w:hAnsi="Times New Roman"/>
      <w:b w:val="0"/>
      <w:color w:val="000000"/>
      <w:sz w:val="21"/>
    </w:rPr>
  </w:style>
  <w:style w:type="paragraph" w:customStyle="1" w:styleId="TableNote">
    <w:name w:val="Table Note"/>
    <w:basedOn w:val="Normal"/>
    <w:pPr>
      <w:spacing w:line="264" w:lineRule="auto" w:after="120" w:before="80"/>
    </w:pPr>
    <w:rPr>
      <w:rFonts w:ascii="Times New Roman" w:hAnsi="Times New Roman"/>
      <w:b w:val="0"/>
      <w:color w:val="000000"/>
      <w:sz w:val="20"/>
    </w:rPr>
  </w:style>
  <w:style w:type="paragraph" w:customStyle="1" w:styleId="Reference">
    <w:name w:val="Reference"/>
    <w:basedOn w:val="Normal"/>
    <w:pPr>
      <w:spacing w:line="252" w:lineRule="auto" w:after="60"/>
      <w:ind w:left="403" w:hanging="403"/>
      <w:jc w:val="left"/>
    </w:pPr>
    <w:rPr>
      <w:rFonts w:ascii="Times New Roman" w:hAnsi="Times New Roman"/>
      <w:b w:val="0"/>
      <w:color w:val="000000"/>
      <w:sz w:val="21"/>
    </w:rPr>
  </w:style>
  <w:style w:type="paragraph" w:customStyle="1" w:styleId="Code">
    <w:name w:val="Code"/>
    <w:basedOn w:val="Normal"/>
    <w:pPr>
      <w:spacing w:line="264" w:lineRule="auto" w:after="120"/>
    </w:pPr>
    <w:rPr>
      <w:rFonts w:ascii="Consolas" w:hAnsi="Consolas"/>
      <w:b w:val="0"/>
      <w:color w:val="000000"/>
      <w:sz w:val="18"/>
    </w:rPr>
  </w:style>
  <w:style w:type="paragraph" w:customStyle="1" w:styleId="TOC1">
    <w:name w:val="TOC 1"/>
    <w:basedOn w:val="Normal"/>
    <w:pPr>
      <w:tabs>
        <w:tab w:pos="9288" w:val="right" w:leader="dot"/>
      </w:tabs>
      <w:spacing w:line="264" w:lineRule="auto" w:after="80"/>
      <w:ind w:left="0"/>
      <w:jc w:val="left"/>
    </w:pPr>
    <w:rPr>
      <w:rFonts w:ascii="Times New Roman" w:hAnsi="Times New Roman"/>
      <w:b/>
      <w:color w:val="000000"/>
      <w:sz w:val="22"/>
    </w:rPr>
  </w:style>
  <w:style w:type="paragraph" w:customStyle="1" w:styleId="TOC2">
    <w:name w:val="TOC 2"/>
    <w:basedOn w:val="Normal"/>
    <w:pPr>
      <w:tabs>
        <w:tab w:pos="9288" w:val="right" w:leader="dot"/>
      </w:tabs>
      <w:spacing w:line="264" w:lineRule="auto" w:after="80"/>
      <w:ind w:left="317"/>
      <w:jc w:val="left"/>
    </w:pPr>
    <w:rPr>
      <w:rFonts w:ascii="Times New Roman" w:hAnsi="Times New Roman"/>
      <w:b w:val="0"/>
      <w:color w:val="000000"/>
      <w:sz w:val="22"/>
    </w:rPr>
  </w:style>
  <w:style w:type="paragraph" w:customStyle="1" w:styleId="FrontHeading">
    <w:name w:val="Front Heading"/>
    <w:basedOn w:val="Normal"/>
    <w:pPr>
      <w:spacing w:line="264" w:lineRule="auto" w:after="120"/>
      <w:jc w:val="center"/>
    </w:pPr>
    <w:rPr>
      <w:rFonts w:ascii="Times New Roman" w:hAnsi="Times New Roman"/>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3" Type="http://schemas.openxmlformats.org/officeDocument/2006/relationships/header" Target="header1.xml"/><Relationship Id="rId14" Type="http://schemas.openxmlformats.org/officeDocument/2006/relationships/footer" Target="footer2.xml"/><Relationship Id="rId28" Type="http://schemas.openxmlformats.org/officeDocument/2006/relationships/header" Target="header2.xml"/><Relationship Id="rId29" Type="http://schemas.openxmlformats.org/officeDocument/2006/relationships/footer" Target="footer3.xml"/><Relationship Id="rId30" Type="http://schemas.openxmlformats.org/officeDocument/2006/relationships/header" Target="header3.xml"/><Relationship Id="rId31" Type="http://schemas.openxmlformats.org/officeDocument/2006/relationships/footer" Target="footer4.xml"/><Relationship Id="rId32" Type="http://schemas.openxmlformats.org/officeDocument/2006/relationships/header" Target="header4.xml"/><Relationship Id="rId33" Type="http://schemas.openxmlformats.org/officeDocument/2006/relationships/footer" Target="footer5.xml"/><Relationship Id="rId52" Type="http://schemas.openxmlformats.org/officeDocument/2006/relationships/header" Target="header5.xml"/><Relationship Id="rId53" Type="http://schemas.openxmlformats.org/officeDocument/2006/relationships/footer" Target="footer6.xml"/><Relationship Id="rId15"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RoadGuard Final Project Report</dc:title>
  <dc:subject>Road damage detection and maintenance scheduling in Jurong</dc:subject>
  <dc:creator>Hu Erji; Yan GuanTing; Wu TaoYi</dc:creator>
  <cp:keywords/>
  <dc:description>generated by python-docx</dc:description>
  <cp:lastModifiedBy/>
  <cp:revision>1</cp:revision>
  <dcterms:created xsi:type="dcterms:W3CDTF">2026-10-19T00:00:00Z</dcterms:created>
  <dcterms:modified xsi:type="dcterms:W3CDTF">2026-10-19T00:00:00Z</dcterms:modified>
  <cp:category/>
</cp:coreProperties>
</file>