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line="312" w:lineRule="auto"/>
        <w:jc w:val="center"/>
      </w:pPr>
      <w:r>
        <w:rPr>
          <w:rFonts w:ascii="Times New Roman" w:hAnsi="Times New Roman"/>
          <w:b/>
          <w:color w:val="000000"/>
          <w:sz w:val="26"/>
        </w:rPr>
        <w:t>NATIONAL UNIVERSITY OF SINGAPORE</w:t>
      </w:r>
    </w:p>
    <w:p>
      <w:pPr>
        <w:spacing w:before="0" w:after="160" w:line="312" w:lineRule="auto"/>
        <w:jc w:val="center"/>
      </w:pPr>
      <w:r>
        <w:rPr>
          <w:rFonts w:ascii="Times New Roman" w:hAnsi="Times New Roman"/>
          <w:b w:val="0"/>
          <w:color w:val="000000"/>
          <w:sz w:val="24"/>
        </w:rPr>
        <w:t>Institute of Systems Science</w:t>
      </w:r>
    </w:p>
    <w:p>
      <w:pPr>
        <w:spacing w:before="0" w:after="120" w:line="312" w:lineRule="auto"/>
        <w:jc w:val="center"/>
      </w:pPr>
      <w:r>
        <w:rPr>
          <w:rFonts w:ascii="Times New Roman" w:hAnsi="Times New Roman"/>
          <w:b w:val="0"/>
          <w:color w:val="000000"/>
          <w:sz w:val="24"/>
        </w:rPr>
        <w:t>Certificate in Intelligent Reasoning Systems</w:t>
      </w:r>
    </w:p>
    <w:p>
      <w:pPr>
        <w:spacing w:before="0" w:after="160" w:line="312" w:lineRule="auto"/>
        <w:jc w:val="center"/>
      </w:pPr>
      <w:r>
        <w:rPr>
          <w:rFonts w:ascii="Times New Roman" w:hAnsi="Times New Roman"/>
          <w:b w:val="0"/>
          <w:color w:val="000000"/>
          <w:sz w:val="24"/>
        </w:rPr>
        <w:t>Practice Module</w:t>
      </w:r>
    </w:p>
    <w:p>
      <w:pPr>
        <w:pStyle w:val="Title"/>
        <w:spacing w:before="1080" w:after="280" w:line="312" w:lineRule="auto"/>
        <w:jc w:val="center"/>
      </w:pPr>
      <w:r>
        <w:rPr>
          <w:rFonts w:ascii="Times New Roman" w:hAnsi="Times New Roman"/>
          <w:b/>
          <w:color w:val="000000"/>
          <w:sz w:val="48"/>
        </w:rPr>
        <w:t>RoadGuard</w:t>
      </w:r>
    </w:p>
    <w:p>
      <w:pPr>
        <w:spacing w:before="0" w:after="400" w:line="312" w:lineRule="auto"/>
        <w:jc w:val="center"/>
      </w:pPr>
      <w:r>
        <w:rPr>
          <w:rFonts w:ascii="Times New Roman" w:hAnsi="Times New Roman"/>
          <w:b/>
          <w:color w:val="000000"/>
          <w:sz w:val="32"/>
        </w:rPr>
        <w:t>Road Damage Detection and Maintenance</w:t>
        <w:br/>
        <w:t>Scheduling in Jurong</w:t>
      </w:r>
    </w:p>
    <w:p>
      <w:pPr>
        <w:spacing w:before="120" w:after="840" w:line="312" w:lineRule="auto"/>
        <w:jc w:val="center"/>
      </w:pPr>
      <w:r>
        <w:rPr>
          <w:rFonts w:ascii="Times New Roman" w:hAnsi="Times New Roman"/>
          <w:b w:val="0"/>
          <w:color w:val="000000"/>
          <w:sz w:val="28"/>
        </w:rPr>
        <w:t>Final Project Report</w:t>
      </w:r>
    </w:p>
    <w:p>
      <w:pPr>
        <w:spacing w:before="0" w:after="240" w:line="312" w:lineRule="auto"/>
        <w:jc w:val="center"/>
      </w:pPr>
      <w:r>
        <w:rPr>
          <w:rFonts w:ascii="Times New Roman" w:hAnsi="Times New Roman"/>
          <w:b w:val="0"/>
          <w:color w:val="000000"/>
          <w:sz w:val="24"/>
        </w:rPr>
        <w:t>Submitted by</w:t>
      </w:r>
    </w:p>
    <w:p>
      <w:pPr>
        <w:spacing w:before="0" w:after="160" w:line="312" w:lineRule="auto"/>
        <w:jc w:val="center"/>
      </w:pPr>
      <w:r>
        <w:rPr>
          <w:rFonts w:ascii="Times New Roman" w:hAnsi="Times New Roman"/>
          <w:b w:val="0"/>
          <w:color w:val="000000"/>
          <w:sz w:val="24"/>
        </w:rPr>
        <w:t>Hu Erji   A0305480L</w:t>
      </w:r>
    </w:p>
    <w:p>
      <w:pPr>
        <w:spacing w:before="0" w:after="160" w:line="312" w:lineRule="auto"/>
        <w:jc w:val="center"/>
      </w:pPr>
      <w:r>
        <w:rPr>
          <w:rFonts w:ascii="Times New Roman" w:hAnsi="Times New Roman"/>
          <w:b w:val="0"/>
          <w:color w:val="000000"/>
          <w:sz w:val="24"/>
        </w:rPr>
        <w:t>Yan GuanTing   A0305485B</w:t>
      </w:r>
    </w:p>
    <w:p>
      <w:pPr>
        <w:spacing w:before="0" w:after="160" w:line="312" w:lineRule="auto"/>
        <w:jc w:val="center"/>
      </w:pPr>
      <w:r>
        <w:rPr>
          <w:rFonts w:ascii="Times New Roman" w:hAnsi="Times New Roman"/>
          <w:b w:val="0"/>
          <w:color w:val="000000"/>
          <w:sz w:val="24"/>
        </w:rPr>
        <w:t>Wu TaoYi   A0356972M</w:t>
      </w:r>
    </w:p>
    <w:p>
      <w:pPr>
        <w:spacing w:before="680" w:after="160" w:line="312" w:lineRule="auto"/>
        <w:jc w:val="center"/>
      </w:pPr>
      <w:r>
        <w:rPr>
          <w:rFonts w:ascii="Times New Roman" w:hAnsi="Times New Roman"/>
          <w:b w:val="0"/>
          <w:color w:val="000000"/>
          <w:sz w:val="24"/>
        </w:rPr>
        <w:t>AIS08FT  ·  Group 7</w:t>
      </w:r>
    </w:p>
    <w:p>
      <w:pPr>
        <w:spacing w:before="200" w:after="160" w:line="312" w:lineRule="auto"/>
        <w:jc w:val="center"/>
      </w:pPr>
      <w:r>
        <w:rPr>
          <w:rFonts w:ascii="Times New Roman" w:hAnsi="Times New Roman"/>
          <w:b w:val="0"/>
          <w:color w:val="000000"/>
          <w:sz w:val="24"/>
        </w:rPr>
        <w:t>19 October 2026</w:t>
      </w:r>
    </w:p>
    <w:p>
      <w:pPr>
        <w:sectPr>
          <w:headerReference w:type="default" r:id="rId28"/>
          <w:footerReference w:type="default" r:id="rId29"/>
          <w:pgSz w:w="12240" w:h="15840"/>
          <w:pgMar w:top="1296" w:bottom="1296" w:left="1440" w:right="1440" w:header="576" w:footer="576"/>
        </w:sectPr>
      </w:pPr>
    </w:p>
    <w:p>
      <w:pPr>
        <w:pStyle w:val="Heading1"/>
        <w:pageBreakBefore w:val="0"/>
        <w:jc w:val="center"/>
      </w:pPr>
      <w:bookmarkStart w:id="2000" w:name="_RGI_1"/>
      <w:r>
        <w:t>Abstract</w:t>
      </w:r>
      <w:bookmarkEnd w:id="2000"/>
    </w:p>
    <w:p>
      <w:r>
        <w:t>RoadGuard integrates road-damage detection, rule-based decisions and maintenance scheduling for four crews in Jurong East and Jurong West. Inspectors upload geolocated images, a local YOLO11s model selects one primary damage observation, and a confidence policy either creates a repair task or requests human review. A genetic algorithm and a Greedy baseline then allocate accepted work from a common NUS-ISS dispatch origin. A shared web application supports inspectors, dispatchers and crew accounts, with persistent task history and revision checks.</w:t>
      </w:r>
    </w:p>
    <w:p>
      <w:r>
        <w:t>The evaluation combines recorded visual-recognition experiments, twelve synthetic routing scenarios and integrated workflow tests. On a 377-image confirmation subset drawn from reused validation data, the selected image-type policy achieved 61.63% Precision and 61.99% Recall. Greedy-seeded search improved the lexicographic scheduling result in all 120 default-budget runs, with scenario-mean objective reductions of 0.73–3.62%. The released application passed 973 backend and 152 frontend tests. These results establish a functioning prototype and modest measured improvements, while leaving important limits: independent local-image validation, calibration of the 0.60 automatic-acceptance gate, operational service-time evidence and the proposed GPT/RAG assistant remain outstanding. The project demonstrates a traceable workflow from uncertain visual evidence to reviewable maintenance decisions and constrained crew plans.</w:t>
      </w:r>
    </w:p>
    <w:p>
      <w:pPr>
        <w:spacing w:line="288" w:lineRule="auto"/>
        <w:jc w:val="left"/>
      </w:pPr>
      <w:r>
        <w:rPr>
          <w:i/>
        </w:rPr>
        <w:t>Keywords: road damage detection; YOLO; business rules; genetic algorithm; maintenance scheduling.</w:t>
      </w:r>
    </w:p>
    <w:p>
      <w:pPr>
        <w:pStyle w:val="FrontHeading"/>
        <w:pageBreakBefore/>
      </w:pPr>
      <w:r>
        <w:t>Contents</w:t>
      </w:r>
    </w:p>
    <w:p>
      <w:pPr>
        <w:spacing w:line="240" w:lineRule="auto" w:after="0"/>
      </w:pPr>
      <w:r>
        <w:fldChar w:fldCharType="begin"/>
      </w:r>
      <w:r>
        <w:instrText xml:space="preserve"> TOC \o "1-2" \h \z \u </w:instrText>
      </w:r>
      <w:r>
        <w:fldChar w:fldCharType="separate"/>
      </w:r>
    </w:p>
    <w:p>
      <w:pPr>
        <w:pStyle w:val="TOC1"/>
      </w:pPr>
      <w:hyperlink w:anchor="_RGI_1">
        <w:r>
          <w:t>Abstract</w:t>
        </w:r>
      </w:hyperlink>
      <w:r>
        <w:tab/>
        <w:t>i</w:t>
      </w:r>
    </w:p>
    <w:p>
      <w:pPr>
        <w:pStyle w:val="TOC1"/>
      </w:pPr>
      <w:hyperlink w:anchor="_RGI_2">
        <w:r>
          <w:t>1 Introduction</w:t>
        </w:r>
      </w:hyperlink>
      <w:r>
        <w:tab/>
        <w:t>1</w:t>
      </w:r>
    </w:p>
    <w:p>
      <w:pPr>
        <w:pStyle w:val="TOC2"/>
      </w:pPr>
      <w:hyperlink w:anchor="_RGI_3">
        <w:r>
          <w:t>1.1 Background and Problem Statement</w:t>
        </w:r>
      </w:hyperlink>
      <w:r>
        <w:tab/>
        <w:t>1</w:t>
      </w:r>
    </w:p>
    <w:p>
      <w:pPr>
        <w:pStyle w:val="TOC2"/>
      </w:pPr>
      <w:hyperlink w:anchor="_RGI_4">
        <w:r>
          <w:t>1.2 Related Work and Contribution</w:t>
        </w:r>
      </w:hyperlink>
      <w:r>
        <w:tab/>
        <w:t>1</w:t>
      </w:r>
    </w:p>
    <w:p>
      <w:pPr>
        <w:pStyle w:val="TOC2"/>
      </w:pPr>
      <w:hyperlink w:anchor="_RGI_5">
        <w:r>
          <w:t>1.3 Scope and Project Evolution</w:t>
        </w:r>
      </w:hyperlink>
      <w:r>
        <w:tab/>
        <w:t>3</w:t>
      </w:r>
    </w:p>
    <w:p>
      <w:pPr>
        <w:pStyle w:val="TOC1"/>
      </w:pPr>
      <w:hyperlink w:anchor="_RGI_6">
        <w:r>
          <w:t>2 Data and Knowledge Preparation</w:t>
        </w:r>
      </w:hyperlink>
      <w:r>
        <w:tab/>
        <w:t>5</w:t>
      </w:r>
    </w:p>
    <w:p>
      <w:pPr>
        <w:pStyle w:val="TOC1"/>
      </w:pPr>
      <w:hyperlink w:anchor="_RGI_7">
        <w:r>
          <w:t>3 System Design and Implementation</w:t>
        </w:r>
      </w:hyperlink>
      <w:r>
        <w:tab/>
        <w:t>7</w:t>
      </w:r>
    </w:p>
    <w:p>
      <w:pPr>
        <w:pStyle w:val="TOC2"/>
      </w:pPr>
      <w:hyperlink w:anchor="_RGI_8">
        <w:r>
          <w:t>3.1 System Architecture</w:t>
        </w:r>
      </w:hyperlink>
      <w:r>
        <w:tab/>
        <w:t>7</w:t>
      </w:r>
    </w:p>
    <w:p>
      <w:pPr>
        <w:pStyle w:val="TOC2"/>
      </w:pPr>
      <w:hyperlink w:anchor="_RGI_9">
        <w:r>
          <w:t>3.2 Decision and Scheduling Semantics</w:t>
        </w:r>
      </w:hyperlink>
      <w:r>
        <w:tab/>
        <w:t>8</w:t>
      </w:r>
    </w:p>
    <w:p>
      <w:pPr>
        <w:pStyle w:val="TOC2"/>
      </w:pPr>
      <w:hyperlink w:anchor="_RGI_10">
        <w:r>
          <w:t>3.3 Implementation and User Workspaces</w:t>
        </w:r>
      </w:hyperlink>
      <w:r>
        <w:tab/>
        <w:t>9</w:t>
      </w:r>
    </w:p>
    <w:p>
      <w:pPr>
        <w:pStyle w:val="TOC2"/>
      </w:pPr>
      <w:hyperlink w:anchor="_RGI_11">
        <w:r>
          <w:t>3.4 Mobile Crew Operation</w:t>
        </w:r>
      </w:hyperlink>
      <w:r>
        <w:tab/>
        <w:t>11</w:t>
      </w:r>
    </w:p>
    <w:p>
      <w:pPr>
        <w:pStyle w:val="TOC2"/>
      </w:pPr>
      <w:hyperlink w:anchor="_RGI_12">
        <w:r>
          <w:t>3.5 Application of Intelligent Reasoning Techniques</w:t>
        </w:r>
      </w:hyperlink>
      <w:r>
        <w:tab/>
        <w:t>12</w:t>
      </w:r>
    </w:p>
    <w:p>
      <w:pPr>
        <w:pStyle w:val="TOC2"/>
      </w:pPr>
      <w:hyperlink w:anchor="_RGI_13">
        <w:r>
          <w:t>3.6 Team Contributions and Development Practice</w:t>
        </w:r>
      </w:hyperlink>
      <w:r>
        <w:tab/>
        <w:t>12</w:t>
      </w:r>
    </w:p>
    <w:p>
      <w:pPr>
        <w:pStyle w:val="TOC1"/>
      </w:pPr>
      <w:hyperlink w:anchor="_RGI_14">
        <w:r>
          <w:t>4 Deployment and User Guide</w:t>
        </w:r>
      </w:hyperlink>
      <w:r>
        <w:tab/>
        <w:t>13</w:t>
      </w:r>
    </w:p>
    <w:p>
      <w:pPr>
        <w:pStyle w:val="TOC2"/>
      </w:pPr>
      <w:hyperlink w:anchor="_RGI_15">
        <w:r>
          <w:t>4.1 Environment and Dependencies</w:t>
        </w:r>
      </w:hyperlink>
      <w:r>
        <w:tab/>
        <w:t>13</w:t>
      </w:r>
    </w:p>
    <w:p>
      <w:pPr>
        <w:pStyle w:val="TOC2"/>
      </w:pPr>
      <w:hyperlink w:anchor="_RGI_16">
        <w:r>
          <w:t>4.2 Accounts and Local Configuration</w:t>
        </w:r>
      </w:hyperlink>
      <w:r>
        <w:tab/>
        <w:t>13</w:t>
      </w:r>
    </w:p>
    <w:p>
      <w:pPr>
        <w:pStyle w:val="TOC2"/>
      </w:pPr>
      <w:hyperlink w:anchor="_RGI_17">
        <w:r>
          <w:t>4.3 Starting the Application</w:t>
        </w:r>
      </w:hyperlink>
      <w:r>
        <w:tab/>
        <w:t>13</w:t>
      </w:r>
    </w:p>
    <w:p>
      <w:pPr>
        <w:pStyle w:val="TOC2"/>
      </w:pPr>
      <w:hyperlink w:anchor="_RGI_18">
        <w:r>
          <w:t>4.4 User Workflow</w:t>
        </w:r>
      </w:hyperlink>
      <w:r>
        <w:tab/>
        <w:t>14</w:t>
      </w:r>
    </w:p>
    <w:p>
      <w:pPr>
        <w:pStyle w:val="TOC2"/>
      </w:pPr>
      <w:hyperlink w:anchor="_RGI_19">
        <w:r>
          <w:t>4.5 API Testing and Troubleshooting</w:t>
        </w:r>
      </w:hyperlink>
      <w:r>
        <w:tab/>
        <w:t>15</w:t>
      </w:r>
    </w:p>
    <w:p>
      <w:pPr>
        <w:pStyle w:val="TOC2"/>
      </w:pPr>
      <w:hyperlink w:anchor="_RGI_20">
        <w:r>
          <w:t>4.6 Optional Travel Time Provider</w:t>
        </w:r>
      </w:hyperlink>
      <w:r>
        <w:tab/>
        <w:t>15</w:t>
      </w:r>
    </w:p>
    <w:p>
      <w:pPr>
        <w:pStyle w:val="TOC1"/>
      </w:pPr>
      <w:hyperlink w:anchor="_RGI_21">
        <w:r>
          <w:t>5 Evaluation Methodology</w:t>
        </w:r>
      </w:hyperlink>
      <w:r>
        <w:tab/>
        <w:t>16</w:t>
      </w:r>
    </w:p>
    <w:p>
      <w:pPr>
        <w:pStyle w:val="TOC1"/>
      </w:pPr>
      <w:hyperlink w:anchor="_RGI_22">
        <w:r>
          <w:t>6 Results and Discussion</w:t>
        </w:r>
      </w:hyperlink>
      <w:r>
        <w:tab/>
        <w:t>17</w:t>
      </w:r>
    </w:p>
    <w:p>
      <w:pPr>
        <w:pStyle w:val="TOC2"/>
      </w:pPr>
      <w:hyperlink w:anchor="_RGI_23">
        <w:r>
          <w:t>6.1 Vision Performance</w:t>
        </w:r>
      </w:hyperlink>
      <w:r>
        <w:tab/>
        <w:t>17</w:t>
      </w:r>
    </w:p>
    <w:p>
      <w:pPr>
        <w:pStyle w:val="TOC2"/>
      </w:pPr>
      <w:hyperlink w:anchor="_RGI_24">
        <w:r>
          <w:t>6.2 Class Imbalance and Acceptance Risk</w:t>
        </w:r>
      </w:hyperlink>
      <w:r>
        <w:tab/>
        <w:t>18</w:t>
      </w:r>
    </w:p>
    <w:p>
      <w:pPr>
        <w:pStyle w:val="TOC2"/>
      </w:pPr>
      <w:hyperlink w:anchor="_RGI_25">
        <w:r>
          <w:t>6.3 Routing Performance</w:t>
        </w:r>
      </w:hyperlink>
      <w:r>
        <w:tab/>
        <w:t>19</w:t>
      </w:r>
    </w:p>
    <w:p>
      <w:pPr>
        <w:pStyle w:val="TOC2"/>
      </w:pPr>
      <w:hyperlink w:anchor="_RGI_26">
        <w:r>
          <w:t>6.4 Integrated Workflow Verification</w:t>
        </w:r>
      </w:hyperlink>
      <w:r>
        <w:tab/>
        <w:t>22</w:t>
      </w:r>
    </w:p>
    <w:p>
      <w:pPr>
        <w:pStyle w:val="TOC1"/>
      </w:pPr>
      <w:hyperlink w:anchor="_RGI_27">
        <w:r>
          <w:t>7 Conclusions and Future Work</w:t>
        </w:r>
      </w:hyperlink>
      <w:r>
        <w:tab/>
        <w:t>24</w:t>
      </w:r>
    </w:p>
    <w:p>
      <w:pPr>
        <w:pStyle w:val="TOC2"/>
      </w:pPr>
      <w:hyperlink w:anchor="_RGI_28">
        <w:r>
          <w:t>7.1 Main Findings and Limitations</w:t>
        </w:r>
      </w:hyperlink>
      <w:r>
        <w:tab/>
        <w:t>24</w:t>
      </w:r>
    </w:p>
    <w:p>
      <w:pPr>
        <w:pStyle w:val="TOC2"/>
      </w:pPr>
      <w:hyperlink w:anchor="_RGI_29">
        <w:r>
          <w:t>7.2 Future Work</w:t>
        </w:r>
      </w:hyperlink>
      <w:r>
        <w:tab/>
        <w:t>24</w:t>
      </w:r>
    </w:p>
    <w:p>
      <w:pPr>
        <w:pStyle w:val="TOC2"/>
      </w:pPr>
      <w:hyperlink w:anchor="_RGI_30">
        <w:r>
          <w:t>7.3 Conclusion</w:t>
        </w:r>
      </w:hyperlink>
      <w:r>
        <w:tab/>
        <w:t>24</w:t>
      </w:r>
      <w:r>
        <w:fldChar w:fldCharType="end"/>
      </w:r>
    </w:p>
    <w:p>
      <w:pPr>
        <w:sectPr>
          <w:headerReference w:type="default" r:id="rId30"/>
          <w:footerReference w:type="default" r:id="rId31"/>
          <w:pgSz w:w="12240" w:h="15840"/>
          <w:pgMar w:top="1296" w:bottom="1296" w:left="1440" w:right="1440" w:header="576" w:footer="576"/>
          <w:pgNumType w:fmt="lowerRoman" w:start="1"/>
        </w:sectPr>
      </w:pPr>
    </w:p>
    <w:p>
      <w:pPr>
        <w:pStyle w:val="Heading1"/>
        <w:pageBreakBefore w:val="0"/>
        <w:jc w:val="left"/>
      </w:pPr>
      <w:bookmarkStart w:id="2001" w:name="_RGI_2"/>
      <w:r>
        <w:t>1 Introduction</w:t>
      </w:r>
      <w:bookmarkEnd w:id="2001"/>
    </w:p>
    <w:p>
      <w:pPr>
        <w:pStyle w:val="Heading2"/>
        <w:pageBreakBefore w:val="0"/>
        <w:jc w:val="left"/>
      </w:pPr>
      <w:bookmarkStart w:id="2002" w:name="_RGI_3"/>
      <w:r>
        <w:t>1.1 Background and Problem Statement</w:t>
      </w:r>
      <w:bookmarkEnd w:id="2002"/>
    </w:p>
    <w:p>
      <w:pPr>
        <w:jc w:val="both"/>
      </w:pPr>
      <w:r>
        <w:t>RoadGuard investigates how a road-maintenance department could convert photographic observations into auditable repair tasks and coordinated crew schedules. The operational problem spans several decisions: identifying a visible defect, deciding whether the observation is sufficiently reliable, assigning a repair priority, and distributing accepted work across available crews. An isolated detector cannot perform this complete process because a predicted label does not establish road ownership, repair duration, resource availability, or operational urgency.</w:t>
      </w:r>
    </w:p>
    <w:p>
      <w:pPr>
        <w:jc w:val="both"/>
      </w:pPr>
      <w:r>
        <w:t>Singapore’s Land Transport Authority describes manual road inspections and reporting as labour-intensive, with variation arising from inspectors’ judgement and experience. Its published account of AI-assisted inspection and GeoFormSG also identifies the effort of transferring location coordinates between applications. This provides a relevant local motivation and an existing-practice comparison. RoadGuard is an educational prototype within this landscape; it does not claim deployment by LTA or equivalence to LTA’s systems.</w:t>
      </w:r>
    </w:p>
    <w:p>
      <w:pPr>
        <w:jc w:val="both"/>
      </w:pPr>
      <w:r>
        <w:t>The intended users are inspectors who submit images and locations, dispatchers who review evidence and allocate work, and crews who consult assigned tasks and record completion. The proposed value is a shorter and more traceable path from observation to scheduling: retained evidence supports correction, explicit rules make priorities inspectable, and comparative route plans make allocation choices visible. These are design objectives. No field study, labour-cost model, customer interviews, or measured financial savings establish commercial benefit. A future pilot would need to measure review effort, erroneous automatic acceptance, planning quality, and task completion against an agreed operational baseline.</w:t>
      </w:r>
    </w:p>
    <w:p>
      <w:pPr>
        <w:pStyle w:val="Heading2"/>
        <w:pageBreakBefore w:val="0"/>
        <w:jc w:val="left"/>
      </w:pPr>
      <w:bookmarkStart w:id="2003" w:name="_RGI_4"/>
      <w:r>
        <w:t>1.2 Related Work and Contribution</w:t>
      </w:r>
      <w:bookmarkEnd w:id="2003"/>
    </w:p>
    <w:p>
      <w:pPr>
        <w:jc w:val="both"/>
      </w:pPr>
      <w:r>
        <w:t>Image-based road-damage recognition offers a practical basis for collecting repeatable observations. Arya et al. describe RDD2022 as a multinational benchmark containing 47,420 images from six countries and four damage families. Its geographic breadth supports research on heterogeneous imagery, but it does not establish performance in Singapore. RoadGuard uses the separately published RDD2022ES derivative, whose eight-category dictionary must be distinguished from the original dataset. Neither source provides RoadGuard’s repair priorities or service-time estimates.</w:t>
      </w:r>
    </w:p>
    <w:p>
      <w:pPr>
        <w:jc w:val="both"/>
      </w:pPr>
      <w:r>
        <w:t>Redmon et al. formulate object detection as joint prediction of bounding boxes and class probabilities. This supports retaining location and category evidence for human review. RoadGuard uses a later Ultralytics YOLO11 model with an eight-class project checkpoint; its official documentation describes training, validation and inference. The original paper provides methodological context, while project experiments establish the suitability of the selected checkpoint.</w:t>
      </w:r>
    </w:p>
    <w:p>
      <w:pPr>
        <w:jc w:val="both"/>
      </w:pPr>
      <w:r>
        <w:t>Vehicle routing adds a distinct combinatorial problem after acceptance. Vidal’s hybrid genetic-search study demonstrates how evolutionary search and local neighbourhood improvement can address capacitated routing. RoadGuard implements a smaller custom genetic algorithm suited to its teaching scenario; it does not implement Vidal’s HGS or SWAP* method. A deterministic greedy method provides an interpretable comparator, while the GA searches alternative task assignments and visit orders.</w:t>
      </w:r>
    </w:p>
    <w:p>
      <w:pPr>
        <w:jc w:val="both"/>
      </w:pPr>
      <w:r>
        <w:t>The hybrid design combines learned visual perception, inspectable rules, human review and resource optimisation. Each addresses a different uncertainty or constraint. Rules can be edited without retraining the detector, and routing operates on accepted tasks. The contribution is an integrated, versioned workflow with comparative evaluation and recoverable human correction, rather than a new detector architecture or optimisation algorithm.</w:t>
      </w:r>
    </w:p>
    <w:p>
      <w:pPr>
        <w:pStyle w:val="ReportCaption"/>
        <w:keepNext/>
        <w:jc w:val="left"/>
      </w:pPr>
      <w:r>
        <w:rPr>
          <w:b/>
        </w:rPr>
        <w:t xml:space="preserve">Table 1. </w:t>
      </w:r>
      <w:r>
        <w:t>Positioning of RoadGuard</w:t>
      </w:r>
    </w:p>
    <w:tbl>
      <w:tblPr>
        <w:tblW w:type="auto" w:w="0"/>
        <w:tblLayout w:type="fixed"/>
        <w:tblLook w:firstColumn="1" w:firstRow="1" w:lastColumn="0" w:lastRow="0" w:noHBand="0" w:noVBand="1" w:val="04A0"/>
      </w:tblPr>
      <w:tblGrid>
        <w:gridCol w:w="2654"/>
        <w:gridCol w:w="3353"/>
        <w:gridCol w:w="3353"/>
      </w:tblGrid>
      <w:tr>
        <w:trPr>
          <w:cantSplit/>
          <w:tblHeader/>
        </w:trPr>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Approach</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Contribution to the problem</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Boundary of this project</w:t>
            </w:r>
          </w:p>
        </w:tc>
      </w:tr>
      <w:tr>
        <w:trPr>
          <w:cantSplit/>
        </w:trPr>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LTA AI and geotagged inspection</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Existing local inspection and reporting practice</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Contextual comparator; no integration with LTA</w:t>
            </w:r>
          </w:p>
        </w:tc>
      </w:tr>
      <w:tr>
        <w:trPr>
          <w:cantSplit/>
        </w:trPr>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YOLO road damage detection</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Image classification and localisation</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Detection alone does not determine repair logistics</w:t>
            </w:r>
          </w:p>
        </w:tc>
      </w:tr>
      <w:tr>
        <w:trPr>
          <w:cantSplit/>
        </w:trPr>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Evolutionary routing</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Search over allocation and visit order</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RoadGuard uses a small custom GA, not HGS</w:t>
            </w:r>
          </w:p>
        </w:tc>
      </w:tr>
      <w:tr>
        <w:trPr>
          <w:cantSplit/>
        </w:trPr>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RoadGuard hybrid workflow</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Connects evidence, review, rules and schedules</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Prototype integration; no new model architecture</w:t>
            </w:r>
          </w:p>
        </w:tc>
      </w:tr>
    </w:tbl>
    <w:p>
      <w:pPr>
        <w:pStyle w:val="Heading2"/>
        <w:pageBreakBefore w:val="0"/>
        <w:jc w:val="left"/>
      </w:pPr>
      <w:bookmarkStart w:id="2004" w:name="_RGI_5"/>
      <w:r>
        <w:t>1.3 Scope and Project Evolution</w:t>
      </w:r>
      <w:bookmarkEnd w:id="2004"/>
    </w:p>
    <w:p>
      <w:pPr>
        <w:jc w:val="both"/>
      </w:pPr>
      <w:r>
        <w:t>The study models one fictional maintenance department serving Jurong East and Jurong West within frozen URA Master Plan 2025 boundaries. Four crews share a simulated dispatch origin at NUS-ISS. This is a scenario definition and does not describe an actual NUS-ISS maintenance operation. Tasks concern eligible public motor roads; expressway mainlines and ramps, and private or restricted internal roads, are excluded. The backend checks the geographic boundary, while road type is declared by the submitting user rather than independently verified.</w:t>
      </w:r>
    </w:p>
    <w:p>
      <w:pPr>
        <w:jc w:val="both"/>
      </w:pPr>
      <w:r>
        <w:t>The delivered flow covers single-image submission, local visual inference, automatic acceptance or manual review, rule-based task creation, task maintenance, four-crew planning, comparative route display, and role-specific crew completion. Each inspection exposes at most one primary detection, although raw evidence is retained. No detection creates no task; a primary detection below the configured 0.60 confidence gate requires review. This gate is a project policy, not a calibrated probability of correctness.</w:t>
      </w:r>
    </w:p>
    <w:p>
      <w:pPr>
        <w:jc w:val="both"/>
      </w:pPr>
      <w:r>
        <w:t>Course-simulation rules assign P3, P2, and P1 tasks estimated service times of 60, 120, and 240 minutes respectively. The routing configuration currently demonstrates a 480-minute shift and return to the depot, while the shared project configuration retains these policy decisions as unresolved. These values must therefore remain labelled demonstration assumptions. The GPT/RAG assistant remains planned: prepared knowledge files and an assistant placeholder do not constitute working retrieval or generation.</w:t>
      </w:r>
    </w:p>
    <w:p>
      <w:pPr>
        <w:pStyle w:val="ReportCaption"/>
        <w:keepNext/>
        <w:jc w:val="left"/>
      </w:pPr>
      <w:r>
        <w:rPr>
          <w:b/>
        </w:rPr>
        <w:t xml:space="preserve">Table 2. </w:t>
      </w:r>
      <w:r>
        <w:t>Changes from the original project plan</w:t>
      </w:r>
    </w:p>
    <w:tbl>
      <w:tblPr>
        <w:tblW w:type="auto" w:w="0"/>
        <w:tblLayout w:type="fixed"/>
        <w:tblLook w:firstColumn="1" w:firstRow="1" w:lastColumn="0" w:lastRow="0" w:noHBand="0" w:noVBand="1" w:val="04A0"/>
      </w:tblPr>
      <w:tblGrid>
        <w:gridCol w:w="1676"/>
        <w:gridCol w:w="3562"/>
        <w:gridCol w:w="4121"/>
      </w:tblGrid>
      <w:tr>
        <w:trPr>
          <w:cantSplit/>
          <w:tblHeader/>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Item</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Original plan</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Current evidence</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Area and crews</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Singapore example with two crews</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Jurong East/West, four crews, NUS-ISS origin</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Wide crack priority</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Wide, sunken or deep labels mapped to P1</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Wide cracks use P2; sunken/deep labels retain P1</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Route refresh</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Queue changes automatically trigger recalculation</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Changes mark plans stale; dispatcher explicitly recalculates</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Travel and map</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Routes and Maps JavaScript API</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Optional Google matrix; default simulation; schematic SVG map</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Language assistant</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GPT/RAG explanations and confirmed change requests</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Prepared knowledge and placeholder only; not implemented</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Business rules</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Proposed rules.yaml and provisional mapping</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Versioned JSON policy with 60/120/240-minute durations</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User access</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Inspector, coordinator and crew workflows</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Authenticated roles, own-inspection and fixed-crew enforcement</w:t>
            </w:r>
          </w:p>
        </w:tc>
      </w:tr>
    </w:tbl>
    <w:p>
      <w:pPr>
        <w:spacing w:before="120"/>
        <w:jc w:val="both"/>
      </w:pPr>
      <w:r>
        <w:t>The geographical and crew changes follow presentation feedback. The other differences record implementation decisions or incomplete scope, rather than retrospectively changing the submitted proposal. Explicit recalculation preserves dispatcher control and exposes stale results, but does not satisfy the original automatic-recalculation behaviour. No route-assistant or real-user productivity result is claimed.</w:t>
      </w:r>
    </w:p>
    <w:p>
      <w:pPr>
        <w:pStyle w:val="Heading1"/>
        <w:pageBreakBefore/>
        <w:jc w:val="left"/>
      </w:pPr>
      <w:bookmarkStart w:id="2005" w:name="_RGI_6"/>
      <w:r>
        <w:t>2 Data and Knowledge Preparation</w:t>
      </w:r>
      <w:bookmarkEnd w:id="2005"/>
    </w:p>
    <w:p>
      <w:pPr>
        <w:jc w:val="both"/>
      </w:pPr>
      <w:r>
        <w:t>The visual pipeline pins Juuso’s RDD2022ES version 1, preserves a shared eight-class dictionary, and records file hashes and preparation decisions. The categories distinguish longitudinal and transverse cracks, their wide variants, alligator cracking and its sunken variant, and potholes and their deep variant. These visual qualifiers are categorical annotations; they do not establish measured crack width, depth, or structural condition. The project audit also records conflicting publisher licence statements, which remain unresolved for any prospective commercial reuse.</w:t>
      </w:r>
    </w:p>
    <w:p>
      <w:pPr>
        <w:jc w:val="both"/>
      </w:pPr>
      <w:r>
        <w:t>Preparation addresses both malformed inputs and evaluation leakage. Images are decoded, normalized annotation coordinates and category identifiers are checked, and known missing-label and uncertain EXIF-orientation groups are quarantined without inventing labels. Original images and supplied mirrors are grouped before splitting; exact-content and conservative perceptual similarity checks connect additional related samples. Country-stratified group allocation uses seed 42 and approximately 70/15/15 proportions. Training includes source mirrors, whereas validation and test evaluation use originals only. This reduces known duplication leakage but cannot establish independence of adjacent scenes without camera-sequence or geographic metadata.</w:t>
      </w:r>
    </w:p>
    <w:p>
      <w:pPr>
        <w:jc w:val="both"/>
      </w:pPr>
      <w:r>
        <w:t>The resulting training, validation, and test sets contain 17,916, 1,921, and 1,918 images respectively. Only the historical YOLO11n 10-epoch baseline has recorded test-set evaluation; later checkpoint and policy selection reused validation. Their manifests separate image counts, independent groups, and annotated boxes, and preserve exclusions for reproducibility. These are foreign-source research images, not Jurong field observations. Synthetic Jurong task coordinates are a separate scheduling input and cannot identify where a source photograph was captured.</w:t>
      </w:r>
    </w:p>
    <w:p>
      <w:pPr>
        <w:jc w:val="both"/>
      </w:pPr>
      <w:r>
        <w:t>Operational knowledge is represented separately from learned model weights. Versioned rules encode the category-to-priority mapping, service minutes, and explanatory reasons. A source-hashed knowledge package records the study scope, label meanings, demonstration rules, workflow, assistant boundaries, and pending decisions. Its review is repository-consistency checking rather than engineering-expert approval. The package is useful preparation for later grounded explanations, but ingestion, retrieval, and answer evaluation are still outstanding.</w:t>
      </w:r>
    </w:p>
    <w:p>
      <w:pPr>
        <w:pStyle w:val="ReportCaption"/>
        <w:keepNext/>
        <w:jc w:val="left"/>
      </w:pPr>
      <w:r>
        <w:rPr>
          <w:b/>
        </w:rPr>
        <w:t xml:space="preserve">Table 3. </w:t>
      </w:r>
      <w:r>
        <w:t>Prepared visual-data partitions</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Partition</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Images</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Groups</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Annotated boxes</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Use</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Training</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17,916</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8,939</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25,314</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Originals and supplied mirrors</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Validation</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1,921</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1,917</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2,623</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Originals only; model selection</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Test</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1,918</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1,915</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2,673</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Originals only; historical n10 test</w:t>
            </w:r>
          </w:p>
        </w:tc>
      </w:tr>
    </w:tbl>
    <w:p>
      <w:pPr>
        <w:pStyle w:val="ReportCaption"/>
        <w:keepNext/>
        <w:spacing w:before="160"/>
        <w:jc w:val="left"/>
      </w:pPr>
      <w:r>
        <w:rPr>
          <w:b/>
        </w:rPr>
        <w:t xml:space="preserve">Table 4. </w:t>
      </w:r>
      <w:r>
        <w:t>Damage classes and demonstration rules</w:t>
      </w:r>
    </w:p>
    <w:tbl>
      <w:tblPr>
        <w:tblW w:type="auto" w:w="0"/>
        <w:tblLayout w:type="fixed"/>
        <w:tblLook w:firstColumn="1" w:firstRow="1" w:lastColumn="0" w:lastRow="0" w:noHBand="0" w:noVBand="1" w:val="04A0"/>
      </w:tblPr>
      <w:tblGrid>
        <w:gridCol w:w="4470"/>
        <w:gridCol w:w="1676"/>
        <w:gridCol w:w="1397"/>
        <w:gridCol w:w="1816"/>
      </w:tblGrid>
      <w:tr>
        <w:trPr>
          <w:cantSplit/>
          <w:tblHeader/>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Class</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Severity</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Priority</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Service minutes</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low</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P3</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 wide</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low</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P3</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 wide</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 sunken</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high</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240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pothole</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pothole deep</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high</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240</w:t>
            </w:r>
          </w:p>
        </w:tc>
      </w:tr>
    </w:tbl>
    <w:p>
      <w:pPr>
        <w:spacing w:before="120"/>
        <w:jc w:val="both"/>
      </w:pPr>
      <w:r>
        <w:t>The eight visual labels supply rule inputs; they are not engineering measurements. Confidence affects acceptance, not severity or repair time. A high-confidence incorrect label can still create an incorrect task. Original images, training checkpoints and runtime data remain outside GitHub; the approved deployment checkpoint is a specific exception.</w:t>
      </w:r>
    </w:p>
    <w:p>
      <w:pPr>
        <w:pStyle w:val="Heading1"/>
        <w:pageBreakBefore/>
        <w:jc w:val="left"/>
      </w:pPr>
      <w:bookmarkStart w:id="2006" w:name="_RGI_7"/>
      <w:r>
        <w:t>3 System Design and Implementation</w:t>
      </w:r>
      <w:bookmarkEnd w:id="2006"/>
    </w:p>
    <w:p>
      <w:pPr>
        <w:pStyle w:val="Heading2"/>
        <w:pageBreakBefore w:val="0"/>
        <w:jc w:val="left"/>
      </w:pPr>
      <w:bookmarkStart w:id="2007" w:name="_RGI_8"/>
      <w:r>
        <w:t>3.1 System Architecture</w:t>
      </w:r>
      <w:bookmarkEnd w:id="2007"/>
    </w:p>
    <w:p>
      <w:pPr>
        <w:jc w:val="both"/>
      </w:pPr>
      <w:r>
        <w:t>RoadGuard uses a React client, a shared FastAPI application, SQLite persistence, and a locally loaded YOLO checkpoint. The API delegates work to separate vision, rule, inspection, task-query, crew, and planning services. This separation gives the frontend one authoritative business state and allows model evidence, policy decisions, and schedules to be inspected independently. The intended architectural sequence is image and location → detection → confidence gate or review → versioned task → planning snapshot → Greedy/GA schedules → dispatcher and crew views.</w:t>
      </w:r>
    </w:p>
    <w:p>
      <w:pPr>
        <w:jc w:val="both"/>
      </w:pPr>
      <w:r>
        <w:t>At ingestion, model provenance is checked against a local manifest, weight hash, and the eight-class schema. The workflow preserves raw evidence, the selected detection, rule version, and review history. Corrections reapply the inspection’s frozen rule policy, preventing a later configuration edit from silently changing an older decision. Idempotent requests avoid duplicate tasks after retries. Real model inference and demonstration business assumptions are separately identified, so a real prediction does not imply a validated repair policy.</w:t>
      </w:r>
    </w:p>
    <w:p>
      <w:pPr>
        <w:jc w:val="both"/>
      </w:pPr>
      <w:r>
        <w:t>Planning reads active tasks and crew availability within a consistent input revision. Both algorithms receive the same tasks, travel matrix, service durations, and constraints. The greedy baseline repeatedly selects the earliest available crew and a feasible task by priority followed by travel time. The GA encodes a task permutation and a crew-owner vector. Tournament selection, order-preserving crossover, crew reassignment, swap, reversal, relocation, and elitism explore alternatives; evaluation caching avoids repeated scoring. Search stops at its generation or stagnation limit.</w:t>
      </w:r>
    </w:p>
    <w:p>
      <w:pPr>
        <w:jc w:val="both"/>
      </w:pPr>
      <w:r>
        <w:t>The shared evaluator ranks candidates lexicographically by unassigned P1, P2, and P3 counts, then by an objective combining makespan, total travel, workload standard deviation, and priority-weighted completion time. The demonstration weights are 1.0, 0.2, 0.5, and 0.5 respectively. This discourages sacrificing urgent work merely to reduce travel. Infeasible tasks remain visible with reasons. Completion time includes service and depot travel, and lateness is undefined when task deadlines are absent.</w:t>
      </w:r>
    </w:p>
    <w:p>
      <w:pPr>
        <w:jc w:val="both"/>
      </w:pPr>
      <w:r>
        <w:t>Task or crew changes invalidate earlier planning inputs. Recalculation is explicit; a plan computed from a superseded revision is rejected before persistence. The current online GA starts from a population containing the Greedy solution; pure GA is retained as an unseeded experimental comparator. This difference is recorded because an online non-worsening safeguard is not independent evidence that the GA always outperforms the baseline.</w:t>
      </w:r>
    </w:p>
    <w:p>
      <w:pPr>
        <w:keepNext/>
        <w:spacing w:line="240" w:lineRule="auto" w:before="120" w:after="100"/>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80760" cy="3040380"/>
                    </a:xfrm>
                    <a:prstGeom prst="rect"/>
                  </pic:spPr>
                </pic:pic>
              </a:graphicData>
            </a:graphic>
          </wp:inline>
        </w:drawing>
      </w:r>
    </w:p>
    <w:p>
      <w:pPr>
        <w:pStyle w:val="ReportCaption"/>
        <w:keepNext w:val="0"/>
        <w:jc w:val="left"/>
      </w:pPr>
      <w:r>
        <w:rPr>
          <w:b/>
        </w:rPr>
        <w:t xml:space="preserve">Figure 1. </w:t>
      </w:r>
      <w:r>
        <w:t>System architecture and principal information flows.</w:t>
      </w:r>
    </w:p>
    <w:p>
      <w:pPr>
        <w:pStyle w:val="TableNote"/>
      </w:pPr>
      <w:r>
        <w:t>Note. The implemented services exclude the proposed GPT/RAG assistant. Planning is explicitly requested by the dispatcher.</w:t>
      </w:r>
    </w:p>
    <w:p>
      <w:pPr>
        <w:pStyle w:val="Heading2"/>
        <w:pageBreakBefore w:val="0"/>
        <w:jc w:val="left"/>
      </w:pPr>
      <w:bookmarkStart w:id="2008" w:name="_RGI_9"/>
      <w:r>
        <w:t>3.2 Decision and Scheduling Semantics</w:t>
      </w:r>
      <w:bookmarkEnd w:id="2008"/>
    </w:p>
    <w:p>
      <w:pPr>
        <w:jc w:val="both"/>
      </w:pPr>
      <w:r>
        <w:t>The primary box is selected using the released area-quarter policy: confidence multiplied by the fourth root of its image-area fraction. The ranking score does not replace the raw confidence used by the 0.60 acceptance gate. A prediction first passes the inference filter of 0.20. No detection produces no task; a low-confidence primary result enters review; accepted or corrected evidence is processed by the frozen rules.</w:t>
      </w:r>
    </w:p>
    <w:p>
      <w:pPr>
        <w:jc w:val="both"/>
      </w:pPr>
      <w:r>
        <w:t>Scheduling minimises the ordered tuple (unassigned P1 count, unassigned P2 count, unassigned P3 count, J). Here J = makespan + 0.2 × total travel + 0.5 × workload standard deviation + 0.5 × priority-weighted mean completion time. The last term is the sum of weighted task completion times divided by the sum of their priority weights, using P1/P2/P3 weights of 3/2/1. It is undefined as a lateness measure because the scenarios contain no deadlines.</w:t>
      </w:r>
    </w:p>
    <w:p>
      <w:pPr>
        <w:jc w:val="both"/>
      </w:pPr>
      <w:r>
        <w:t>A consistent snapshot is read before planning and its revision is checked again before saving. Completing a task removes it from subsequent active snapshots but preserves its history. Crew completion is authorised against the latest saved GA assignment within the same write transaction; a stale browser cannot complete a task that has been reassigned to another crew.</w:t>
      </w:r>
    </w:p>
    <w:p>
      <w:pPr>
        <w:pStyle w:val="Heading2"/>
        <w:pageBreakBefore w:val="0"/>
        <w:jc w:val="left"/>
      </w:pPr>
      <w:bookmarkStart w:id="2009" w:name="_RGI_10"/>
      <w:r>
        <w:t>3.3 Implementation and User Workspaces</w:t>
      </w:r>
      <w:bookmarkEnd w:id="2009"/>
    </w:p>
    <w:p>
      <w:pPr>
        <w:jc w:val="both"/>
      </w:pPr>
      <w:r>
        <w:t>The implemented frontend supports image upload, inspection detail, manual review, task management, four-crew routes, algorithm comparison, and a crew workspace. Inspectors submit observations and access their own inspection records; dispatchers review tasks and control planning; crew accounts access assigned work and record completion. Backend authorization enforces these distinctions independently of navigation. The workflow therefore extends beyond a detector demonstration to an executable inspection-to-completion process.</w:t>
      </w:r>
    </w:p>
    <w:p>
      <w:pPr>
        <w:jc w:val="both"/>
      </w:pPr>
      <w:r>
        <w:t>Travel-time acquisition is abstracted behind simulated and Google Routes matrix providers. The simulated matrix uses geographic distance with explicit speed and detour assumptions. The Google provider handles road-network travel estimates, response validation, and caching; provider failure returns an error rather than silently substituting simulation. Historical Google-matrix experiments are distinct from the local browser integration acceptance, which explicitly used the simulated provider. Map links show stop order as schematic segments and do not constitute turn-by-turn road geometry.</w:t>
      </w:r>
    </w:p>
    <w:p>
      <w:pPr>
        <w:jc w:val="both"/>
      </w:pPr>
      <w:r>
        <w:t>The frontend displays source information, outdated-plan warnings, unavailable crews, and unassigned tasks. Comparative improvement figures require matched planning context and compatible assigned task sets, preventing a shorter route that omits work from appearing automatically superior. Local integration records demonstrate the main flow, including human correction of an incorrect visual prediction. This establishes functional connectivity and correction behaviour; recognition reliability, operational service assumptions, and field effectiveness require separate evidence.</w:t>
      </w:r>
    </w:p>
    <w:p>
      <w:pPr>
        <w:jc w:val="both"/>
      </w:pPr>
      <w:r>
        <w:t>Implementation also exposed a dependency interaction: loading the vision library replaced the image decoder used by later uploads, causing malformed input to produce a server error. The upload component now retains its validated decoder reference, and a regression case exercises the interaction. This illustrates why component tests alone were insufficient and why integration checks with the actual local model remain necessary.</w:t>
      </w:r>
    </w:p>
    <w:p>
      <w:pPr>
        <w:pStyle w:val="ReportCaption"/>
        <w:keepNext/>
        <w:jc w:val="left"/>
      </w:pPr>
      <w:r>
        <w:rPr>
          <w:b/>
        </w:rPr>
        <w:t xml:space="preserve">Table 5. </w:t>
      </w:r>
      <w:r>
        <w:t>Account roles and access restrictions</w:t>
      </w:r>
    </w:p>
    <w:tbl>
      <w:tblPr>
        <w:tblW w:type="auto" w:w="0"/>
        <w:tblLayout w:type="fixed"/>
        <w:tblLook w:firstColumn="1" w:firstRow="1" w:lastColumn="0" w:lastRow="0" w:noHBand="0" w:noVBand="1" w:val="04A0"/>
      </w:tblPr>
      <w:tblGrid>
        <w:gridCol w:w="1537"/>
        <w:gridCol w:w="3912"/>
        <w:gridCol w:w="3912"/>
      </w:tblGrid>
      <w:tr>
        <w:trPr>
          <w:cantSplit/>
          <w:tblHeader/>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Role</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Permitted workflow</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Server-side restriction</w:t>
            </w:r>
          </w:p>
        </w:tc>
      </w:tr>
      <w:tr>
        <w:trPr>
          <w:cantSplit/>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Inspector</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Upload and inspect own results</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No global tasks, reviews or planning</w:t>
            </w:r>
          </w:p>
        </w:tc>
      </w:tr>
      <w:tr>
        <w:trPr>
          <w:cantSplit/>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Dispatcher</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Review, tasks, crews, planning and comparison</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Cannot upload or impersonate a crew workspace</w:t>
            </w:r>
          </w:p>
        </w:tc>
      </w:tr>
      <w:tr>
        <w:trPr>
          <w:cantSplit/>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Crew</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Read own latest GA route and complete assigned work</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Cannot select another crew, replan or access global lists</w:t>
            </w:r>
          </w:p>
        </w:tc>
      </w:tr>
    </w:tbl>
    <w:p>
      <w:pPr>
        <w:spacing w:before="120"/>
        <w:jc w:val="both"/>
      </w:pPr>
      <w:r>
        <w:t>Passwords are stored as scrypt hashes, sessions as hashed random tokens, and modifying requests require CSRF validation. These controls support the local prototype; they do not constitute a production-security certification. The frontend uses the backend as the source of truth and does not determine permissions by navigation alone.</w:t>
      </w:r>
    </w:p>
    <w:p>
      <w:pPr>
        <w:keepNext/>
        <w:spacing w:line="240" w:lineRule="auto" w:before="120" w:after="100"/>
        <w:jc w:val="center"/>
      </w:pPr>
      <w:r>
        <w:drawing>
          <wp:inline xmlns:a="http://schemas.openxmlformats.org/drawingml/2006/main" xmlns:pic="http://schemas.openxmlformats.org/drawingml/2006/picture">
            <wp:extent cx="5852160" cy="4065711"/>
            <wp:docPr id="2" name="Picture 2" descr="English RoadGuard dispatcher review interface"/>
            <wp:cNvGraphicFramePr>
              <a:graphicFrameLocks noChangeAspect="1"/>
            </wp:cNvGraphicFramePr>
            <a:graphic>
              <a:graphicData uri="http://schemas.openxmlformats.org/drawingml/2006/picture">
                <pic:pic>
                  <pic:nvPicPr>
                    <pic:cNvPr id="0" name="reviews-desktop.png"/>
                    <pic:cNvPicPr/>
                  </pic:nvPicPr>
                  <pic:blipFill>
                    <a:blip r:embed="rId15"/>
                    <a:stretch>
                      <a:fillRect/>
                    </a:stretch>
                  </pic:blipFill>
                  <pic:spPr>
                    <a:xfrm>
                      <a:off x="0" y="0"/>
                      <a:ext cx="6080760" cy="4065711"/>
                    </a:xfrm>
                    <a:prstGeom prst="rect"/>
                  </pic:spPr>
                </pic:pic>
              </a:graphicData>
            </a:graphic>
          </wp:inline>
        </w:drawing>
      </w:r>
    </w:p>
    <w:p>
      <w:pPr>
        <w:pStyle w:val="ReportCaption"/>
        <w:keepNext w:val="0"/>
        <w:jc w:val="left"/>
      </w:pPr>
      <w:r>
        <w:rPr>
          <w:b/>
        </w:rPr>
        <w:t xml:space="preserve">Figure 2. </w:t>
      </w:r>
      <w:r>
        <w:t>Dispatcher review interface showing a synthetic confidence case.</w:t>
      </w:r>
    </w:p>
    <w:p>
      <w:pPr>
        <w:pStyle w:val="TableNote"/>
      </w:pPr>
      <w:r>
        <w:t>Note. Recorded on 19 October 2026. The 42% result is a controlled review case rather than a model-accuracy measurement.</w:t>
      </w:r>
    </w:p>
    <w:p>
      <w:pPr>
        <w:pStyle w:val="Heading2"/>
        <w:pageBreakBefore w:val="0"/>
        <w:jc w:val="left"/>
      </w:pPr>
      <w:bookmarkStart w:id="2010" w:name="_RGI_11"/>
      <w:r>
        <w:t>3.4 Mobile Crew Operation</w:t>
      </w:r>
      <w:bookmarkEnd w:id="2010"/>
    </w:p>
    <w:p>
      <w:pPr>
        <w:jc w:val="both"/>
      </w:pPr>
      <w:r>
        <w:t>Mobile navigation retains account identity, sign-out and role restrictions. The crew workspace presents the assigned route, current task and completion confirmation. A crew is fixed by its server-side account; changing URL query parameters cannot grant another crew’s access. The recorded 360/390-pixel browser checks found no whole-page horizontal overflow.</w:t>
      </w:r>
    </w:p>
    <w:p>
      <w:pPr>
        <w:keepNext/>
        <w:spacing w:line="240" w:lineRule="auto" w:before="120" w:after="100"/>
        <w:jc w:val="center"/>
      </w:pPr>
      <w:r>
        <w:drawing>
          <wp:inline xmlns:a="http://schemas.openxmlformats.org/drawingml/2006/main" xmlns:pic="http://schemas.openxmlformats.org/drawingml/2006/picture">
            <wp:extent cx="2331720" cy="5048951"/>
            <wp:docPr id="3" name="Picture 3" descr="English RoadGuard mobile crew completion and route interface"/>
            <wp:cNvGraphicFramePr>
              <a:graphicFrameLocks noChangeAspect="1"/>
            </wp:cNvGraphicFramePr>
            <a:graphic>
              <a:graphicData uri="http://schemas.openxmlformats.org/drawingml/2006/picture">
                <pic:pic>
                  <pic:nvPicPr>
                    <pic:cNvPr id="0" name="crew-mobile-task.png"/>
                    <pic:cNvPicPr/>
                  </pic:nvPicPr>
                  <pic:blipFill>
                    <a:blip r:embed="rId11"/>
                    <a:stretch>
                      <a:fillRect/>
                    </a:stretch>
                  </pic:blipFill>
                  <pic:spPr>
                    <a:xfrm>
                      <a:off x="0" y="0"/>
                      <a:ext cx="2331720" cy="5048951"/>
                    </a:xfrm>
                    <a:prstGeom prst="rect"/>
                  </pic:spPr>
                </pic:pic>
              </a:graphicData>
            </a:graphic>
          </wp:inline>
        </w:drawing>
      </w:r>
    </w:p>
    <w:p>
      <w:pPr>
        <w:pStyle w:val="ReportCaption"/>
        <w:keepNext w:val="0"/>
        <w:jc w:val="left"/>
      </w:pPr>
      <w:r>
        <w:rPr>
          <w:b/>
        </w:rPr>
        <w:t xml:space="preserve">Figure 3. </w:t>
      </w:r>
      <w:r>
        <w:t>Mobile crew workspace showing task completion and route entries.</w:t>
      </w:r>
    </w:p>
    <w:p>
      <w:pPr>
        <w:pStyle w:val="TableNote"/>
      </w:pPr>
      <w:r>
        <w:t>Note. Recorded on 19 October 2026. Completion is checked against the current crew assignment and task version.</w:t>
      </w:r>
    </w:p>
    <w:p>
      <w:pPr>
        <w:pStyle w:val="Heading2"/>
        <w:pageBreakBefore/>
        <w:jc w:val="left"/>
      </w:pPr>
      <w:bookmarkStart w:id="2011" w:name="_RGI_12"/>
      <w:r>
        <w:t>3.5 Application of Intelligent Reasoning Techniques</w:t>
      </w:r>
      <w:bookmarkEnd w:id="2011"/>
    </w:p>
    <w:p>
      <w:pPr/>
      <w:r>
        <w:t>RoadGuard applies three complementary technique groups. Machine Reasoning is represented by explicit business rules, confidence-based decisions and controlled task transitions. Reasoning Systems is represented by evolutionary search for four-crew allocation and visit sequencing, evaluated against a Greedy baseline. Cognitive Systems is represented by learned visual perception through the eight-class YOLO detector. The visual component supplies the cognitive capability independently of the unfinished language assistant. Storage and dashboard presentation support these methods but are not counted as separate knowledge-discovery techniques.</w:t>
      </w:r>
    </w:p>
    <w:p>
      <w:pPr>
        <w:pStyle w:val="Heading2"/>
        <w:pageBreakBefore w:val="0"/>
        <w:jc w:val="left"/>
      </w:pPr>
      <w:bookmarkStart w:id="2012" w:name="_RGI_13"/>
      <w:r>
        <w:t>3.6 Team Contributions and Development Practice</w:t>
      </w:r>
      <w:bookmarkEnd w:id="2012"/>
    </w:p>
    <w:p>
      <w:pPr>
        <w:pStyle w:val="ReportCaption"/>
        <w:keepNext/>
        <w:jc w:val="left"/>
      </w:pPr>
      <w:r>
        <w:rPr>
          <w:b/>
        </w:rPr>
        <w:t xml:space="preserve">Table 6. </w:t>
      </w:r>
      <w:r>
        <w:t>Team responsibilities and completed contributions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944"/>
        <w:gridCol w:w="5256"/>
      </w:tblGrid>
      <w:tr>
        <w:trPr>
          <w:cantSplit/>
          <w:tblHeader/>
        </w:trPr>
        <w:tc>
          <w:tcPr>
            <w:tcW w:type="dxa" w:w="2160"/>
            <w:vAlign w:val="center"/>
            <w:tcMar>
              <w:top w:w="85" w:type="dxa"/>
              <w:left w:w="85" w:type="dxa"/>
              <w:bottom w:w="85" w:type="dxa"/>
              <w:right w:w="85" w:type="dxa"/>
            </w:tcMar>
            <w:shd w:fill="EDEDED"/>
          </w:tcPr>
          <w:p>
            <w:pPr>
              <w:spacing w:line="264" w:lineRule="auto" w:after="40"/>
              <w:jc w:val="left"/>
            </w:pPr>
            <w:r>
              <w:rPr>
                <w:rFonts w:ascii="Times New Roman" w:hAnsi="Times New Roman"/>
                <w:b/>
                <w:color w:val="000000"/>
                <w:sz w:val="21"/>
              </w:rPr>
              <w:t>Member</w:t>
            </w:r>
          </w:p>
        </w:tc>
        <w:tc>
          <w:tcPr>
            <w:tcW w:type="dxa" w:w="1944"/>
            <w:vAlign w:val="center"/>
            <w:tcMar>
              <w:top w:w="85" w:type="dxa"/>
              <w:left w:w="85" w:type="dxa"/>
              <w:bottom w:w="85" w:type="dxa"/>
              <w:right w:w="85" w:type="dxa"/>
            </w:tcMar>
            <w:shd w:fill="EDEDED"/>
          </w:tcPr>
          <w:p>
            <w:pPr>
              <w:spacing w:line="264" w:lineRule="auto" w:after="40"/>
              <w:jc w:val="left"/>
            </w:pPr>
            <w:r>
              <w:rPr>
                <w:rFonts w:ascii="Times New Roman" w:hAnsi="Times New Roman"/>
                <w:b/>
                <w:color w:val="000000"/>
                <w:sz w:val="21"/>
              </w:rPr>
              <w:t>Primary area</w:t>
            </w:r>
          </w:p>
        </w:tc>
        <w:tc>
          <w:tcPr>
            <w:tcW w:type="dxa" w:w="5256"/>
            <w:vAlign w:val="center"/>
            <w:tcMar>
              <w:top w:w="85" w:type="dxa"/>
              <w:left w:w="85" w:type="dxa"/>
              <w:bottom w:w="85" w:type="dxa"/>
              <w:right w:w="85" w:type="dxa"/>
            </w:tcMar>
            <w:shd w:fill="EDEDED"/>
          </w:tcPr>
          <w:p>
            <w:pPr>
              <w:spacing w:line="264" w:lineRule="auto" w:after="40"/>
              <w:jc w:val="left"/>
            </w:pPr>
            <w:r>
              <w:rPr>
                <w:rFonts w:ascii="Times New Roman" w:hAnsi="Times New Roman"/>
                <w:b/>
                <w:color w:val="000000"/>
                <w:sz w:val="21"/>
              </w:rPr>
              <w:t>Completed contribution</w:t>
            </w:r>
          </w:p>
        </w:tc>
      </w:tr>
      <w:tr>
        <w:trPr>
          <w:cantSplit/>
        </w:trPr>
        <w:tc>
          <w:tcPr>
            <w:tcW w:type="dxa" w:w="2160"/>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Hu Erji</w:t>
              <w:br/>
              <w:t>A0305480L</w:t>
            </w:r>
          </w:p>
        </w:tc>
        <w:tc>
          <w:tcPr>
            <w:tcW w:type="dxa" w:w="1944"/>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Vision and shared workflow</w:t>
            </w:r>
          </w:p>
        </w:tc>
        <w:tc>
          <w:tcPr>
            <w:tcW w:type="dxa" w:w="5256"/>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Data and model experiments; business rules and shared backend; model release; integration, authentication and later interface refinement.</w:t>
            </w:r>
          </w:p>
        </w:tc>
      </w:tr>
      <w:tr>
        <w:trPr>
          <w:cantSplit/>
        </w:trPr>
        <w:tc>
          <w:tcPr>
            <w:tcW w:type="dxa" w:w="2160"/>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Yan GuanTing</w:t>
              <w:br/>
              <w:t>A0305485B</w:t>
            </w:r>
          </w:p>
        </w:tc>
        <w:tc>
          <w:tcPr>
            <w:tcW w:type="dxa" w:w="1944"/>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Routing and optimisation</w:t>
            </w:r>
          </w:p>
        </w:tc>
        <w:tc>
          <w:tcPr>
            <w:tcW w:type="dxa" w:w="5256"/>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Four-crew Greedy and GA planning; crew and plan persistence; Google matrix provider; routing experiments and ablation.</w:t>
            </w:r>
          </w:p>
        </w:tc>
      </w:tr>
      <w:tr>
        <w:trPr>
          <w:cantSplit/>
        </w:trPr>
        <w:tc>
          <w:tcPr>
            <w:tcW w:type="dxa" w:w="2160"/>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Wu TaoYi</w:t>
              <w:br/>
              <w:t>A0356972M</w:t>
            </w:r>
          </w:p>
        </w:tc>
        <w:tc>
          <w:tcPr>
            <w:tcW w:type="dxa" w:w="1944"/>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Frontend and assistant interface</w:t>
            </w:r>
          </w:p>
        </w:tc>
        <w:tc>
          <w:tcPr>
            <w:tcW w:type="dxa" w:w="5256"/>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Frontend foundation and workflow pages; map and comparison integration; assistant interface placeholder. The assistant backend remains unimplemented.</w:t>
            </w:r>
          </w:p>
        </w:tc>
      </w:tr>
    </w:tbl>
    <w:p>
      <w:pPr>
        <w:spacing w:before="120"/>
      </w:pPr>
      <w:r>
        <w:t>Responsibilities were confirmed by the project coordinator and corroborated by repository history. Integration and squash commits can obscure original authorship, so commit counts are not used to measure individual effort or quality.</w:t>
      </w:r>
    </w:p>
    <w:p>
      <w:pPr/>
      <w:r>
        <w:t>AI agents assisted coding, debugging, testing, interface refinement and report drafting. The group supplied project decisions and directed acceptance. Report sections were cross-checked against saved experiments and implementation records; the reported measurements are recorded results rather than generated estimates.</w:t>
      </w:r>
    </w:p>
    <w:p>
      <w:pPr>
        <w:pStyle w:val="Heading1"/>
        <w:pageBreakBefore/>
        <w:jc w:val="left"/>
      </w:pPr>
      <w:bookmarkStart w:id="2013" w:name="_RGI_14"/>
      <w:r>
        <w:t>4 Deployment and User Guide</w:t>
      </w:r>
      <w:bookmarkEnd w:id="2013"/>
    </w:p>
    <w:p>
      <w:pPr>
        <w:pStyle w:val="Heading2"/>
        <w:pageBreakBefore w:val="0"/>
        <w:jc w:val="left"/>
      </w:pPr>
      <w:bookmarkStart w:id="2014" w:name="_RGI_15"/>
      <w:r>
        <w:t>4.1 Environment and Dependencies</w:t>
      </w:r>
      <w:bookmarkEnd w:id="2014"/>
    </w:p>
    <w:p>
      <w:pPr>
        <w:spacing/>
        <w:jc w:val="both"/>
      </w:pPr>
      <w:r>
        <w:t>The recorded local acceptance used Windows, Python 3.12.14 and Node 22.23.3; CI uses Python 3.11. The frontend requires Node 22.12 or later within 22.x and npm 10 or later. Clone the private repository with authorised GitHub access. Run the following PowerShell commands from its root. The approved YOLO weight is already in SystemCode/backend/roadguard/model/; Dataset downloads are not required for inference.</w:t>
      </w:r>
    </w:p>
    <w:p>
      <w:pPr>
        <w:pStyle w:val="Code"/>
        <w:keepLines/>
        <w:spacing w:line="288" w:lineRule="auto"/>
        <w:jc w:val="left"/>
      </w:pPr>
      <w:r>
        <w:t>py -3.11 -m venv .venv</w:t>
        <w:br/>
        <w:t>.\.venv\Scripts\python.exe -m pip install -r SystemCode/backend/requirements-ci.txt</w:t>
        <w:br/>
        <w:t>.\.venv\Scripts\python.exe -m pip install -r SystemCode/model/requirements-vision.txt</w:t>
      </w:r>
    </w:p>
    <w:p>
      <w:pPr>
        <w:spacing/>
        <w:jc w:val="both"/>
      </w:pPr>
      <w:r>
        <w:t>The pinned vision requirements include PyTorch, torchvision and Ultralytics. CPU inference was exercised during local acceptance. GPU training has separate CUDA requirements and is not needed for inference. Installation on a fresh machine has not been independently validated.</w:t>
      </w:r>
    </w:p>
    <w:p>
      <w:pPr>
        <w:pStyle w:val="Heading2"/>
        <w:pageBreakBefore w:val="0"/>
        <w:jc w:val="left"/>
      </w:pPr>
      <w:bookmarkStart w:id="2015" w:name="_RGI_16"/>
      <w:r>
        <w:t>4.2 Accounts and Local Configuration</w:t>
      </w:r>
      <w:bookmarkEnd w:id="2015"/>
    </w:p>
    <w:p>
      <w:pPr>
        <w:spacing/>
        <w:jc w:val="both"/>
      </w:pPr>
      <w:r>
        <w:t>No default accounts or shared passwords are shipped. Create an inspector, dispatcher and crew accounts in the same database used by the server. Each command prompts privately for a 12–256-character password. If ROADGUARD_DB_PATH is customised, keep its value identical in provisioning and server terminals.</w:t>
      </w:r>
    </w:p>
    <w:p>
      <w:pPr>
        <w:pStyle w:val="Code"/>
        <w:keepLines/>
        <w:spacing w:line="288" w:lineRule="auto"/>
        <w:jc w:val="left"/>
      </w:pPr>
      <w:r>
        <w:t>$env:PYTHONPATH = 'SystemCode/backend'</w:t>
        <w:br/>
        <w:t>.\.venv\Scripts\python.exe -m roadguard.auth.manage create inspector --role inspector</w:t>
        <w:br/>
        <w:t>.\.venv\Scripts\python.exe -m roadguard.auth.manage create dispatcher --role dispatcher</w:t>
        <w:br/>
        <w:t>.\.venv\Scripts\python.exe -m roadguard.auth.manage create crew02 --role crew --crew crew-02</w:t>
      </w:r>
    </w:p>
    <w:p>
      <w:pPr>
        <w:spacing/>
        <w:jc w:val="both"/>
      </w:pPr>
      <w:r>
        <w:t>Repeat the crew command with distinct usernames and crew-01, crew-03 and crew-04 when those workspaces are needed. Accounts are local database records and are not shared by pulling Git. The default database is SystemCode/backend/data/roadguard.sqlite3. Preserve it and its adjacent uploads directory together.</w:t>
      </w:r>
    </w:p>
    <w:p>
      <w:pPr>
        <w:pStyle w:val="Heading2"/>
        <w:pageBreakBefore w:val="0"/>
        <w:jc w:val="left"/>
      </w:pPr>
      <w:bookmarkStart w:id="2016" w:name="_RGI_17"/>
      <w:r>
        <w:t>4.3 Starting the Application</w:t>
      </w:r>
      <w:bookmarkEnd w:id="2016"/>
    </w:p>
    <w:p>
      <w:pPr>
        <w:pStyle w:val="Code"/>
        <w:keepLines/>
        <w:spacing w:line="288" w:lineRule="auto"/>
        <w:jc w:val="left"/>
      </w:pPr>
      <w:r>
        <w:t>$env:ROADGUARD_TRAVEL_MATRIX_PROVIDER = 'simulated'</w:t>
        <w:br/>
        <w:t>.\.venv\Scripts\python.exe -m uvicorn roadguard.main:app `</w:t>
        <w:br/>
        <w:t xml:space="preserve"> --app-dir SystemCode/backend --host 127.0.0.1 --port 8000</w:t>
      </w:r>
    </w:p>
    <w:p>
      <w:pPr>
        <w:keepNext/>
        <w:spacing/>
        <w:jc w:val="both"/>
      </w:pPr>
      <w:r>
        <w:t>Open a second terminal at the repository root:</w:t>
      </w:r>
    </w:p>
    <w:p>
      <w:pPr>
        <w:pStyle w:val="Code"/>
        <w:keepLines/>
        <w:spacing w:line="288" w:lineRule="auto"/>
        <w:jc w:val="left"/>
      </w:pPr>
      <w:r>
        <w:t>cd SystemCode/frontend</w:t>
        <w:br/>
        <w:t>npm ci</w:t>
        <w:br/>
        <w:t>$env:ROADGUARD_API_TARGET = 'http://127.0.0.1:8000'</w:t>
        <w:br/>
        <w:t>npm run dev</w:t>
      </w:r>
    </w:p>
    <w:p>
      <w:pPr>
        <w:spacing/>
        <w:jc w:val="both"/>
      </w:pPr>
      <w:r>
        <w:t>Open http://127.0.0.1:5173 and sign in. API documentation is at http://127.0.0.1:8000/docs and the public health endpoint is /api/v1/health. Health confirms application/database access only. The model loads lazily on real inference; stop the relevant terminal with Ctrl+C. Do not start a duplicate server on an occupied port.</w:t>
      </w:r>
    </w:p>
    <w:p>
      <w:pPr>
        <w:pStyle w:val="Heading2"/>
        <w:pageBreakBefore w:val="0"/>
        <w:jc w:val="left"/>
      </w:pPr>
      <w:bookmarkStart w:id="2017" w:name="_RGI_18"/>
      <w:r>
        <w:t>4.4 User Workflow</w:t>
      </w:r>
      <w:bookmarkEnd w:id="2017"/>
    </w:p>
    <w:p>
      <w:pPr>
        <w:spacing/>
        <w:jc w:val="both"/>
      </w:pPr>
      <w:r>
        <w:t>1. Sign in as an inspector and open the upload page. Select a JPEG or PNG within 8 MiB and 20 megapixels. Choose real mode for model inference, enter a Jurong position and declare the road type. A test coordinate such as latitude 1.3405 and longitude 103.706 is synthetic unless it is the image’s verified location.</w:t>
      </w:r>
    </w:p>
    <w:p>
      <w:pPr>
        <w:spacing/>
        <w:jc w:val="both"/>
      </w:pPr>
      <w:r>
        <w:t>2. Submit and inspect the result. Upload returns inspection_id, status, detection and task_id. A detection is one object or null. Inspect the detail page for provenance and rule information. A primary raw confidence of at least 0.60 automatically creates one task; a lower-confidence result waits for review; no detection creates no task.</w:t>
      </w:r>
    </w:p>
    <w:p>
      <w:pPr>
        <w:spacing/>
        <w:jc w:val="both"/>
      </w:pPr>
      <w:r>
        <w:t>3. Sign in as the dispatcher. In the review queue, confirm, correct or reject pending evidence. Correcting a label reapplies its stored rules. Accepted work appears in tasks with priority and service minutes. Completion or cancellation retains history while removing it from active planning inputs.</w:t>
      </w:r>
    </w:p>
    <w:p>
      <w:pPr>
        <w:spacing/>
        <w:jc w:val="both"/>
      </w:pPr>
      <w:r>
        <w:t>4. Review four-crew availability and explicitly recalculate from the routes page. Both planners use the current snapshot. Inspect unassigned tasks and reasons, then open the same-round comparison. A stale warning means inputs have changed; do not interpret the old plan as current.</w:t>
      </w:r>
    </w:p>
    <w:p>
      <w:pPr>
        <w:spacing/>
        <w:jc w:val="both"/>
      </w:pPr>
      <w:r>
        <w:t>5. Identify the crew assigned to a task in the latest GA plan, then sign in with an account provisioned for that crew. The example crew02 account can complete only Crew 02 tasks and may be idle. View the assigned task and confirm completion. The server checks assignment and task version. Completion changes the planning input; a dispatcher must explicitly replan. The route-assistant page remains a placeholder.</w:t>
      </w:r>
    </w:p>
    <w:p>
      <w:pPr>
        <w:pStyle w:val="Heading2"/>
        <w:pageBreakBefore w:val="0"/>
        <w:jc w:val="left"/>
      </w:pPr>
      <w:bookmarkStart w:id="2018" w:name="_RGI_19"/>
      <w:r>
        <w:t>4.5 API Testing and Troubleshooting</w:t>
      </w:r>
      <w:bookmarkEnd w:id="2018"/>
    </w:p>
    <w:p>
      <w:pPr>
        <w:spacing/>
        <w:jc w:val="both"/>
      </w:pPr>
      <w:r>
        <w:t>For Swagger, first call POST /api/v1/auth/login with a provisioned username and password. Retain the same host name so the browser keeps the session cookie; copy the returned csrf_token into X-CSRF-Token for modifying requests. GET requests do not require CSRF. Upload uses multipart image plus metadata. Give each new upload a new Idempotency-Key; retry a lost response with the identical image, metadata and same key. A changed payload requires a new submission.</w:t>
      </w:r>
    </w:p>
    <w:p>
      <w:pPr>
        <w:pStyle w:val="Code"/>
        <w:keepLines/>
        <w:spacing w:line="288" w:lineRule="auto"/>
        <w:jc w:val="left"/>
      </w:pPr>
      <w:r>
        <w:t>{"mode":"real","latitude":1.3405,"longitude":103.706,</w:t>
        <w:br/>
        <w:t xml:space="preserve"> "road_type":"public_motor_road"}</w:t>
      </w:r>
    </w:p>
    <w:p>
      <w:pPr>
        <w:pStyle w:val="ReportCaption"/>
        <w:keepNext/>
        <w:jc w:val="left"/>
      </w:pPr>
      <w:r>
        <w:rPr>
          <w:b/>
        </w:rPr>
        <w:t xml:space="preserve">Table 7. </w:t>
      </w:r>
      <w:r>
        <w:t>Common issues</w:t>
      </w:r>
    </w:p>
    <w:tbl>
      <w:tblPr>
        <w:tblW w:type="auto" w:w="0"/>
        <w:tblLayout w:type="fixed"/>
        <w:tblLook w:firstColumn="1" w:firstRow="1" w:lastColumn="0" w:lastRow="0" w:noHBand="0" w:noVBand="1" w:val="04A0"/>
      </w:tblPr>
      <w:tblGrid>
        <w:gridCol w:w="2375"/>
        <w:gridCol w:w="6985"/>
      </w:tblGrid>
      <w:tr>
        <w:trPr>
          <w:cantSplit/>
          <w:tblHeader/>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Symptom</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Action</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Connection refused</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Start the backend; match its port to the frontend proxy target.</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401 or 403</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Sign in with the correct role; check session, CSRF and same-host usage.</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Database is locked</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End outstanding database-viewer transactions and disconnect; do not delete the database.</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Real inference unavailable</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Install pinned vision dependencies and check the approved weight/manifest; restart after a failed load.</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Stale plan or 409</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Refresh the current state and explicitly replan or retry with a current version.</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Unassigned task</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Read the recorded reason, including unavailable crews or the shift limit.</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error</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Check server-side credentials/service access; errors do not silently become simulation.</w:t>
            </w:r>
          </w:p>
        </w:tc>
      </w:tr>
    </w:tbl>
    <w:p>
      <w:pPr>
        <w:pStyle w:val="Heading2"/>
        <w:pageBreakBefore w:val="0"/>
        <w:jc w:val="left"/>
      </w:pPr>
      <w:bookmarkStart w:id="2019" w:name="_RGI_20"/>
      <w:r>
        <w:t>4.6 Optional Travel Time Provider</w:t>
      </w:r>
      <w:bookmarkEnd w:id="2019"/>
    </w:p>
    <w:p>
      <w:pPr/>
      <w:r>
        <w:t>To use Google travel estimates, configure the following backend environment variables privately:</w:t>
      </w:r>
    </w:p>
    <w:p>
      <w:pPr>
        <w:pStyle w:val="Code"/>
        <w:jc w:val="left"/>
      </w:pPr>
      <w:r>
        <w:t>ROADGUARD_TRAVEL_MATRIX_PROVIDER=google_routes</w:t>
        <w:br/>
        <w:t>ROADGUARD_GOOGLE_MAPS_API_KEY=&lt;your private key&gt;</w:t>
      </w:r>
    </w:p>
    <w:p>
      <w:pPr/>
      <w:r>
        <w:t>Restart the backend and explicitly recalculate. Provider usage may incur charges. The current implementation uses traffic-unaware driving estimates and schematic map segments; old plans retain their original source. Keep the key out of the report and frontend.</w:t>
      </w:r>
    </w:p>
    <w:p>
      <w:pPr>
        <w:pStyle w:val="Heading1"/>
        <w:pageBreakBefore/>
        <w:jc w:val="left"/>
      </w:pPr>
      <w:bookmarkStart w:id="2020" w:name="_RGI_21"/>
      <w:r>
        <w:t>5 Evaluation Methodology</w:t>
      </w:r>
      <w:bookmarkEnd w:id="2020"/>
    </w:p>
    <w:p>
      <w:pPr>
        <w:jc w:val="both"/>
      </w:pPr>
      <w:r>
        <w:t>The evaluation distinguishes recognition quality, optimisation quality and workflow correctness. Recorded experiments and integration checks are analysed separately: passing software tests does not establish recognition accuracy, and a lower routing objective does not establish financial savings.</w:t>
      </w:r>
    </w:p>
    <w:p>
      <w:pPr>
        <w:jc w:val="both"/>
      </w:pPr>
      <w:r>
        <w:t>Vision experiments used the eight-class RDD2022ES version 1 partition described in Chapter 2. The matched YOLO11n/YOLO11s comparison started from the respective COCO-pretrained checkpoints and used 30 epochs, 640-pixel inputs, batch 32, AdamW and seed 42. The subsequent YOLO11s experiment used 40 additional fine-tuning epochs at 832 pixels and batch 16. Several settings changed together, preventing single-factor causal attribution.</w:t>
      </w:r>
    </w:p>
    <w:p>
      <w:pPr>
        <w:jc w:val="both"/>
      </w:pPr>
      <w:r>
        <w:t>Detection precision is TP/(TP+FP), recall is TP/(TP+FN), and F1 is their harmonic mean. Fixed-threshold box results require the correct eight-class label and one-to-one IoU ≥0.5 matching. These micro counts differ from native Ultralytics class-averaged PR operating points and mAP. The single-subject experiment instead evaluates whether one selected image-level label is correct on zero/one-annotation images. Its 1,230 images were deterministically partitioned into 853 calibration and 377 confirmation cases; 691 multiple-object images were reported separately. Eighty policy combinations were compared on calibration. Both partitions reuse validation data already involved in development, so confirmation is not an independent test. Image-type macro F1 averages all eight class F1 values, with undefined class ratios represented as zero by the evaluation script; the zero-support wide-transverse class therefore contributes zero in confirmation.</w:t>
      </w:r>
    </w:p>
    <w:p>
      <w:pPr>
        <w:jc w:val="both"/>
      </w:pPr>
      <w:r>
        <w:t>Routing used four crews, a common NUS-ISS depot and nested synthetic sets of 10, 15 and 20 tasks. The factorial design crossed simulated/Google matrices with 480-minute/unlimited shifts, giving 12 scenarios. Each scenario comprised Greedy once, pure GA and Greedy-seeded GA with seeds 1–10, and 20 reference-budget runs with seeds 101–120: 492 runs overall. Default GA settings were population 60, maximum 300 generations, patience 80, crossover 0.9, mutation 0.3, tournament size 3 and two elites. Reference-budget runs used population 150, maximum 1,000 generations and patience 300, alternating pure and seeded initialisation. Identical inputs, matrix and evaluator were used within each scenario.</w:t>
      </w:r>
    </w:p>
    <w:p>
      <w:pPr>
        <w:pStyle w:val="Heading1"/>
        <w:pageBreakBefore/>
        <w:jc w:val="left"/>
      </w:pPr>
      <w:bookmarkStart w:id="2021" w:name="_RGI_22"/>
      <w:r>
        <w:t>6 Results and Discussion</w:t>
      </w:r>
      <w:bookmarkEnd w:id="2021"/>
    </w:p>
    <w:p>
      <w:pPr>
        <w:pStyle w:val="Heading2"/>
        <w:pageBreakBefore w:val="0"/>
        <w:jc w:val="left"/>
      </w:pPr>
      <w:bookmarkStart w:id="2022" w:name="_RGI_23"/>
      <w:r>
        <w:t>6.1 Vision Performance</w:t>
      </w:r>
      <w:bookmarkEnd w:id="2022"/>
    </w:p>
    <w:p>
      <w:pPr>
        <w:jc w:val="both"/>
      </w:pPr>
      <w:r>
        <w:t>The matched 30-epoch comparison selected YOLO11s because validation mAP50–95 was 20.23%, against 19.16% for YOLO11n. At confidence 0.25, however, s30 gained 107 correct matches while adding 220 false positives relative to n30. Architecture selection therefore improved a detection summary without uniformly reducing operational errors. Matched warm CPU measurements on 40 fixed images, repeated three times, gave median/P95 latency of 53.27/63.59 ms for n30 and 81.87/91.85 ms for s30. These timings include image preparation and detection, while excluding cold loading, HTTP, database and task processing.</w:t>
      </w:r>
    </w:p>
    <w:p>
      <w:pPr>
        <w:jc w:val="both"/>
      </w:pPr>
      <w:r>
        <w:t>Balanced fine-tuning produced modest fixed-threshold gains: precision/recall increased from 48.62%/51.20% to 50.52%/52.00%. An eight-method inference study subsequently selected original-plus-horizontal-flip inference at 53.02%/53.26%, but its CPU median/P95 increased from 85.19/99.00 to 142.64/160.94 ms. That composite recipe was not activated in the released backend. The two 70% precision and recall targets remained unmet, and improvements in micro averages did not consistently improve rare subtypes.</w:t>
      </w:r>
    </w:p>
    <w:p>
      <w:pPr>
        <w:jc w:val="both"/>
      </w:pPr>
      <w:r>
        <w:t>The released single-v1 model uses the balanced YOLO11s checkpoint and area-quarter primary selection at inference confidence 0.20. On 377 confirmation images, image-type precision/recall were 61.63%/61.99%, compared with 61.25%/57.31% for confidence-only selection. Correct-type localisation at IoU 0.5 was lower, at 50.58%/50.88%. The 65.68%/65.23% image-type result over all 1,230 eligible images includes calibration cases and must not replace the confirmation result. These image-type results were computed offline from hash-verified GPU prediction exports using the selected ranking policy. They are not a re-evaluation of the current CPU HTTP service or of automatic acceptance at the separate 0.60 gate.</w:t>
      </w:r>
    </w:p>
    <w:p>
      <w:pPr>
        <w:jc w:val="both"/>
      </w:pPr>
      <w:r>
        <w:t>Per-class support exposes limitations hidden by an aggregate: the eligible population contains 250 longitudinal-crack positives but only eight deep-pothole positives. Confirmation has no wide-transverse-crack positive. A known pothole photograph was classified as alligator crack at approximately 0.253 confidence during integration, and reviewers corrected it before task creation. The operational automatic-acceptance gate of raw confidence ≥0.60 is a separate business policy; it is neither the inference filter nor a calibrated probability of correctness. No measured acceptance-quality guarantee at that gate is claimed.</w:t>
      </w:r>
    </w:p>
    <w:p>
      <w:pPr>
        <w:pStyle w:val="ReportCaption"/>
        <w:keepNext/>
        <w:jc w:val="left"/>
      </w:pPr>
      <w:r>
        <w:rPr>
          <w:b/>
        </w:rPr>
        <w:t xml:space="preserve">Table 8. </w:t>
      </w:r>
      <w:r>
        <w:t>Validation detection performance</w:t>
      </w:r>
    </w:p>
    <w:tbl>
      <w:tblPr>
        <w:tblW w:type="auto" w:w="0"/>
        <w:tblLayout w:type="fixed"/>
        <w:tblLook w:firstColumn="1" w:firstRow="1" w:lastColumn="0" w:lastRow="0" w:noHBand="0" w:noVBand="1" w:val="04A0"/>
      </w:tblPr>
      <w:tblGrid>
        <w:gridCol w:w="4051"/>
        <w:gridCol w:w="2654"/>
        <w:gridCol w:w="2654"/>
      </w:tblGrid>
      <w:tr>
        <w:trPr>
          <w:cantSplit/>
          <w:tblHeader/>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Model</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mAP50</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mAP50–95</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YOLO11n, 10 epochs</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34.28</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16.93</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YOLO11n, 30 epochs</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37.27</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19.16</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YOLO11s, 30 epochs</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38.77</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20.23</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YOLO11s, balanced fine-tuning</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40.16</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20.27</w:t>
            </w:r>
          </w:p>
        </w:tc>
      </w:tr>
    </w:tbl>
    <w:p>
      <w:pPr>
        <w:pStyle w:val="TableNote"/>
        <w:spacing w:before="120"/>
        <w:jc w:val="both"/>
      </w:pPr>
      <w:r>
        <w:t>Note. The same 1,921 original images were used. The 10-epoch baseline is contextual; the two 30-epoch runs form the matched architecture comparison. Values are percentages.</w:t>
      </w:r>
    </w:p>
    <w:p>
      <w:pPr>
        <w:pStyle w:val="ReportCaption"/>
        <w:keepNext/>
        <w:jc w:val="left"/>
      </w:pPr>
      <w:r>
        <w:rPr>
          <w:b/>
        </w:rPr>
        <w:t xml:space="preserve">Table 9. </w:t>
      </w:r>
      <w:r>
        <w:t>Fixed-threshold box Precision and Recall</w:t>
      </w:r>
    </w:p>
    <w:tbl>
      <w:tblPr>
        <w:tblW w:type="auto" w:w="0"/>
        <w:tblLayout w:type="fixed"/>
        <w:tblLook w:firstColumn="1" w:firstRow="1" w:lastColumn="0" w:lastRow="0" w:noHBand="0" w:noVBand="1" w:val="04A0"/>
      </w:tblPr>
      <w:tblGrid>
        <w:gridCol w:w="4051"/>
        <w:gridCol w:w="2654"/>
        <w:gridCol w:w="2654"/>
      </w:tblGrid>
      <w:tr>
        <w:trPr>
          <w:cantSplit/>
          <w:tblHeader/>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Model / size / confidence</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Micro precision</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Micro recall</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n10 / 640 / 0.25</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52.48</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41.17</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n30 / 640 / 0.25</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50.76</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47.12</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s30 / 640 / 0.25</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48.62</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51.20</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Balanced / 832 / 0.25</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50.52</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52.00</w:t>
            </w:r>
          </w:p>
        </w:tc>
      </w:tr>
      <w:tr>
        <w:trPr>
          <w:cantSplit/>
        </w:trPr>
        <w:tc>
          <w:tcPr>
            <w:tcW w:type="dxa" w:w="40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Original+flip / 832 / 0.30</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53.02</w:t>
            </w:r>
          </w:p>
        </w:tc>
        <w:tc>
          <w:tcPr>
            <w:tcW w:type="dxa" w:w="265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53.26</w:t>
            </w:r>
          </w:p>
        </w:tc>
      </w:tr>
    </w:tbl>
    <w:p>
      <w:pPr>
        <w:pStyle w:val="TableNote"/>
        <w:spacing w:before="120"/>
        <w:jc w:val="both"/>
      </w:pPr>
      <w:r>
        <w:t>Note. Eight-class, one-to-one matching at IoU ≥ 0.5 on 1,921 images and 2,623 boxes. The horizontal-flip recipe is experimental. Values are percentages.</w:t>
      </w:r>
    </w:p>
    <w:p>
      <w:pPr>
        <w:pStyle w:val="ReportCaption"/>
        <w:keepNext/>
        <w:jc w:val="left"/>
      </w:pPr>
      <w:r>
        <w:rPr>
          <w:b/>
        </w:rPr>
        <w:t xml:space="preserve">Table 10. </w:t>
      </w:r>
      <w:r>
        <w:t>Image-type performance on the confirmation subset</w:t>
      </w:r>
    </w:p>
    <w:tbl>
      <w:tblPr>
        <w:tblW w:type="auto" w:w="0"/>
        <w:tblLayout w:type="fixed"/>
        <w:tblLook w:firstColumn="1" w:firstRow="1" w:lastColumn="0" w:lastRow="0" w:noHBand="0" w:noVBand="1" w:val="04A0"/>
      </w:tblPr>
      <w:tblGrid>
        <w:gridCol w:w="3143"/>
        <w:gridCol w:w="768"/>
        <w:gridCol w:w="768"/>
        <w:gridCol w:w="768"/>
        <w:gridCol w:w="1118"/>
        <w:gridCol w:w="1118"/>
        <w:gridCol w:w="1676"/>
      </w:tblGrid>
      <w:tr>
        <w:trPr>
          <w:cantSplit/>
          <w:tblHeader/>
        </w:trPr>
        <w:tc>
          <w:tcPr>
            <w:tcW w:type="dxa" w:w="314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Policy</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TP</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FP</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FN</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 (%)</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 (%)</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Macro F1 (%)</w:t>
            </w:r>
          </w:p>
        </w:tc>
      </w:tr>
      <w:tr>
        <w:trPr>
          <w:cantSplit/>
        </w:trPr>
        <w:tc>
          <w:tcPr>
            <w:tcW w:type="dxa" w:w="314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Confidence baseline, threshold 0.25</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98</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62</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73</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61.25</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57.31</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42.64</w:t>
            </w:r>
          </w:p>
        </w:tc>
      </w:tr>
      <w:tr>
        <w:trPr>
          <w:cantSplit/>
        </w:trPr>
        <w:tc>
          <w:tcPr>
            <w:tcW w:type="dxa" w:w="314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Selected area-quarter, threshold 0.20</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106</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66</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65</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61.63</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61.99</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46.15</w:t>
            </w:r>
          </w:p>
        </w:tc>
      </w:tr>
    </w:tbl>
    <w:p>
      <w:pPr>
        <w:pStyle w:val="TableNote"/>
        <w:spacing w:before="120"/>
        <w:jc w:val="both"/>
      </w:pPr>
      <w:r>
        <w:t>Note. Offline GPU exports for 377 reused-validation images: 171 positive and 206 negative. Localisation is not required. Macro F1 averages all eight classes, including zero for the unsupported class.</w:t>
      </w:r>
    </w:p>
    <w:p>
      <w:pPr>
        <w:pStyle w:val="Heading2"/>
        <w:pageBreakBefore w:val="0"/>
        <w:jc w:val="left"/>
      </w:pPr>
      <w:bookmarkStart w:id="2023" w:name="_RGI_24"/>
      <w:r>
        <w:t>6.2 Class Imbalance and Acceptance Risk</w:t>
      </w:r>
      <w:bookmarkEnd w:id="2023"/>
    </w:p>
    <w:p>
      <w:pPr>
        <w:pStyle w:val="ReportCaption"/>
        <w:keepNext/>
        <w:jc w:val="left"/>
      </w:pPr>
      <w:r>
        <w:rPr>
          <w:b/>
        </w:rPr>
        <w:t xml:space="preserve">Table 11. </w:t>
      </w:r>
      <w:r>
        <w:t>Per-class performance of the selected image-type policy</w:t>
      </w:r>
    </w:p>
    <w:tbl>
      <w:tblPr>
        <w:tblW w:type="auto" w:w="0"/>
        <w:tblLayout w:type="fixed"/>
        <w:tblLook w:firstColumn="1" w:firstRow="1" w:lastColumn="0" w:lastRow="0" w:noHBand="0" w:noVBand="1" w:val="04A0"/>
      </w:tblPr>
      <w:tblGrid>
        <w:gridCol w:w="4191"/>
        <w:gridCol w:w="1537"/>
        <w:gridCol w:w="1816"/>
        <w:gridCol w:w="1816"/>
      </w:tblGrid>
      <w:tr>
        <w:trPr>
          <w:cantSplit/>
          <w:tblHeader/>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Source class</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Support</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 (%)</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 (%)</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250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73.25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71.20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 wide</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39.39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52.00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74</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66.67</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62.16</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 wide</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75.00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60.00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159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75.51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69.81</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 sunken</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43.75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36.84</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pothole</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34.62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43.90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pothole deep</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8</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23.08</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37.50</w:t>
            </w:r>
          </w:p>
        </w:tc>
      </w:tr>
    </w:tbl>
    <w:p>
      <w:pPr>
        <w:pStyle w:val="TableNote"/>
        <w:spacing w:before="120"/>
        <w:jc w:val="both"/>
      </w:pPr>
      <w:r>
        <w:t>Note. All 1,230 eligible zero/one-annotation validation images, including calibration. Support counts positive images rather than boxes.</w:t>
      </w:r>
    </w:p>
    <w:p>
      <w:pPr>
        <w:jc w:val="both"/>
      </w:pPr>
      <w:r>
        <w:t>The aggregate at the single-image operating point must not be interpreted as accuracy among automatically accepted tasks. The released policy selects at most one box, whereas the original dataset includes multiple-object scenes. An independent evaluation of the 0.60 gate would need accepted-case precision, review rate and missed-error counts on a prospectively held-out target-domain sample. Those measurements remain outstanding.</w:t>
      </w:r>
    </w:p>
    <w:p>
      <w:pPr>
        <w:pStyle w:val="Heading2"/>
        <w:pageBreakBefore w:val="0"/>
        <w:jc w:val="left"/>
      </w:pPr>
      <w:bookmarkStart w:id="2024" w:name="_RGI_25"/>
      <w:r>
        <w:t>6.3 Routing Performance</w:t>
      </w:r>
      <w:bookmarkEnd w:id="2024"/>
    </w:p>
    <w:p>
      <w:pPr>
        <w:jc w:val="both"/>
      </w:pPr>
      <w:r>
        <w:t>The optimiser first minimises the unassigned counts lexicographically by priority: P1, then P2, then P3. Only then does it minimise J = makespan + 0.2 × total travel + 0.5 × workload standard deviation + 0.5 × priority-weighted mean completion time. All components are minute-based; J is a weighted objective rather than elapsed time or money. Repair durations are the demonstration values P3/P2/P1 = 60/120/240 minutes. Every task lacks a deadline, so priority-weighted completion is not lateness.</w:t>
      </w:r>
    </w:p>
    <w:p>
      <w:pPr>
        <w:jc w:val="both"/>
      </w:pPr>
      <w:r>
        <w:t>The best-known solution (BKS) is the best lexicographic result among 41 runs in each scenario, not a proven optimum. Percentage objective gaps are calculated only when unassigned P1/P2/P3 counts match BKS. This establishes compatible priority coverage, not necessarily identical assigned task identities. Runs with inferior coverage are counted separately. Consequently, constrained-scenario objective differences are valid under the stated optimisation criterion but should not be advertised as travel savings for an identical workload.</w:t>
      </w:r>
    </w:p>
    <w:p>
      <w:pPr>
        <w:jc w:val="both"/>
      </w:pPr>
      <w:r>
        <w:t>Greedy-seeded GA improved the lexicographic result in all 120 default-budget runs, with mean objective reductions of 0.73–3.62% relative to Greedy. Its scenario-mean BKS gaps were 0.23–1.82%, versus 1.17–5.10% for Greedy. Seeded gaps ranged from 0.19–0.23% for simulated/480/15, 0.41–2.08% for simulated/480/20, and 0.79–2.69% for Google/unlimited/20. These are descriptive ranges over ten seeds, not confidence intervals. Mean algorithm runtime ranged from 104.6 to 361.9 ms; Greedy was below one millisecond. The non-regression guarantee follows mechanically from including Greedy in the initial population and retaining the best solution. The informative findings are improvement magnitude, remaining BKS gap and the pure-versus-seeded ablation.</w:t>
      </w:r>
    </w:p>
    <w:p>
      <w:pPr>
        <w:jc w:val="both"/>
      </w:pPr>
      <w:r>
        <w:t>Pure GA exposed a failure under Google travel, 480 minutes and 15 tasks: seeds 2, 4, 5, 7 and 10 assigned 12 tasks, whereas Greedy assigned 13. These five runs are excluded from the compatible-coverage gap mean, not from the evaluation. Diagnostic inspection found capacity trapped in one crew and no feasible direct insertion; some cases required coordinated relocation before insertion. Seeding recovered 13 assigned tasks in all ten runs. Nevertheless, seeded mean BKS gaps were slightly worse than pure GA in three 20-task scenarios, so seeding is primarily a dependable starting point rather than a universal quality improvement.</w:t>
      </w:r>
    </w:p>
    <w:p>
      <w:pPr>
        <w:jc w:val="both"/>
      </w:pPr>
      <w:r>
        <w:t>Capacity, data source and objective weights materially affect interpretation. Fifteen tasks already require 1,920 service minutes, exhausting four 480-minute shifts before travel. Simulated travel leaves three unassigned tasks; Google permits one additional P3 assignment. At 20 tasks both matrices leave eight unassigned under seeded GA. For 15 and 20 tasks, unlimited-shift sensitivity assigns every task but exceeds 480 minutes; the 10-task cases finish within 480 minutes. Historical Google matrices used traffic-unaware driving times; later integration acceptance explicitly used simulated travel. API waiting time and algorithm runtime were recorded separately.</w:t>
      </w:r>
    </w:p>
    <w:p>
      <w:pPr>
        <w:pStyle w:val="ReportCaption"/>
        <w:keepNext/>
        <w:jc w:val="left"/>
      </w:pPr>
      <w:r>
        <w:rPr>
          <w:b/>
        </w:rPr>
        <w:t xml:space="preserve">Table 12. </w:t>
      </w:r>
      <w:r>
        <w:t>Pure GA and Greedy for the complete 20-task scenarios</w:t>
      </w:r>
    </w:p>
    <w:tbl>
      <w:tblPr>
        <w:tblW w:type="auto" w:w="0"/>
        <w:tblLayout w:type="fixed"/>
        <w:tblLook w:firstColumn="1" w:firstRow="1" w:lastColumn="0" w:lastRow="0" w:noHBand="0" w:noVBand="1" w:val="04A0"/>
      </w:tblPr>
      <w:tblGrid>
        <w:gridCol w:w="1956"/>
        <w:gridCol w:w="1851"/>
        <w:gridCol w:w="1851"/>
        <w:gridCol w:w="1851"/>
        <w:gridCol w:w="1851"/>
      </w:tblGrid>
      <w:tr>
        <w:trPr>
          <w:cantSplit/>
          <w:tblHeader/>
        </w:trPr>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Matrix / tasks / shift</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Travel G / GA</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Makespan G / GA</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Priority completion G / GA</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Objective J G / GA</w:t>
            </w:r>
          </w:p>
        </w:tc>
      </w:tr>
      <w:tr>
        <w:trPr>
          <w:cantSplit/>
        </w:trPr>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20 / Unlimited</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227.8 / 242.6</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722.1 / 721.1</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438.9 / 402.2</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1001.0 / 983.6</w:t>
            </w:r>
          </w:p>
        </w:tc>
      </w:tr>
      <w:tr>
        <w:trPr>
          <w:cantSplit/>
        </w:trPr>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20 / Unlimited</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282.9 / 270.3</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736.6 / 725.9</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441.6 / 409.8</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1030.4 / 997.7</w:t>
            </w:r>
          </w:p>
        </w:tc>
      </w:tr>
    </w:tbl>
    <w:p>
      <w:pPr>
        <w:pStyle w:val="TableNote"/>
        <w:spacing w:before="120"/>
        <w:jc w:val="both"/>
      </w:pPr>
      <w:r>
        <w:t>Note. Each entry shows Greedy / pure-GA mean over seeds 1–10. All tasks are assigned. Values are minutes except the weighted objective J.</w:t>
      </w:r>
    </w:p>
    <w:p>
      <w:pPr>
        <w:pStyle w:val="ReportCaption"/>
        <w:keepNext/>
        <w:jc w:val="left"/>
      </w:pPr>
      <w:r>
        <w:rPr>
          <w:b/>
        </w:rPr>
        <w:t xml:space="preserve">Table 13. </w:t>
      </w:r>
      <w:r>
        <w:t>Mean objective gaps to the best-known solution</w:t>
      </w:r>
    </w:p>
    <w:tbl>
      <w:tblPr>
        <w:tblW w:type="auto" w:w="0"/>
        <w:tblLayout w:type="fixed"/>
        <w:tblLook w:firstColumn="1" w:firstRow="1" w:lastColumn="0" w:lastRow="0" w:noHBand="0" w:noVBand="1" w:val="04A0"/>
      </w:tblPr>
      <w:tblGrid>
        <w:gridCol w:w="3493"/>
        <w:gridCol w:w="1397"/>
        <w:gridCol w:w="1257"/>
        <w:gridCol w:w="1956"/>
        <w:gridCol w:w="1257"/>
      </w:tblGrid>
      <w:tr>
        <w:trPr>
          <w:cantSplit/>
          <w:tblHeader/>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Matrix / shift / tasks</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Greedy gap</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Pure gap</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Pure inferior coverage</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Seeded gap</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480 / 10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1.17</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0.68</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0.43</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480 / 15</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1.49</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0.49</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0.23</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480 / 20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4.29</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0.73</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1.07</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Unlimited / 10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1.17</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0.97</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0.33</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Unlimited / 15</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2.02</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0.87</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0.75</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Unlimited / 20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4.27</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2.46</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0.50</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480 / 10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2.09</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0.89</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0.67</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480 / 15</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2.19</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0.85</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0.23</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480 / 20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3.53</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0.90</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0.93</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Unlimited / 10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2.09</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1.08</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0.57</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Unlimited / 15</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3.01</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2.09</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0.94</w:t>
            </w:r>
          </w:p>
        </w:tc>
      </w:tr>
      <w:tr>
        <w:trPr>
          <w:cantSplit/>
        </w:trPr>
        <w:tc>
          <w:tcPr>
            <w:tcW w:type="dxa" w:w="349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Unlimited / 20</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1.77</w:t>
            </w:r>
          </w:p>
        </w:tc>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5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1.82</w:t>
            </w:r>
          </w:p>
        </w:tc>
      </w:tr>
    </w:tbl>
    <w:p>
      <w:pPr>
        <w:pStyle w:val="TableNote"/>
        <w:spacing w:before="120"/>
        <w:jc w:val="both"/>
      </w:pPr>
      <w:r>
        <w:t>Note. Values are percentages. Pure and seeded GA each use ten seeds. The Google/480/15 pure-GA gap uses five compatible-coverage runs; the other five runs retain explicit inferior-coverage counts.</w:t>
      </w:r>
    </w:p>
    <w:p>
      <w:pPr>
        <w:pStyle w:val="ReportCaption"/>
        <w:keepNext/>
        <w:jc w:val="left"/>
      </w:pPr>
      <w:r>
        <w:rPr>
          <w:b/>
        </w:rPr>
        <w:t xml:space="preserve">Table 14. </w:t>
      </w:r>
      <w:r>
        <w:t>Operational components under the 480-minute shift limit</w:t>
      </w:r>
    </w:p>
    <w:tbl>
      <w:tblPr>
        <w:tblW w:type="auto" w:w="0"/>
        <w:tblLayout w:type="fixed"/>
        <w:tblLook w:firstColumn="1" w:firstRow="1" w:lastColumn="0" w:lastRow="0" w:noHBand="0" w:noVBand="1" w:val="04A0"/>
      </w:tblPr>
      <w:tblGrid>
        <w:gridCol w:w="2235"/>
        <w:gridCol w:w="1676"/>
        <w:gridCol w:w="1816"/>
        <w:gridCol w:w="1816"/>
        <w:gridCol w:w="1816"/>
      </w:tblGrid>
      <w:tr>
        <w:trPr>
          <w:cantSplit/>
          <w:tblHeader/>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Matrix / tasks</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Unassigned P1/P2/P3</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Total travel G / S</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Makespan G / S</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Priority completion G / S</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10</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0/0/0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224.3 / 225.7</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413.0 / 412.9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262.0 / 252.9</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15</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0/2/1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208.5 / 207.9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477.9 / 477.9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315.1 / 298.2</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20</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0/6/2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194.9 / 187.1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477.9 / 474.6</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333.2 / 302.3</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10</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0/0/0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207.3 / 204.5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409.0 / 405.9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259.8 / 252.0</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15</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0/2/0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215.5 / 202.5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477.6 / 476.0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320.7 / 302.7</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20</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0/6/2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194.1 / 193.4</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477.1 / 473.0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331.9 / 307.9</w:t>
            </w:r>
          </w:p>
        </w:tc>
      </w:tr>
    </w:tbl>
    <w:p>
      <w:pPr>
        <w:pStyle w:val="TableNote"/>
        <w:spacing w:before="120"/>
        <w:jc w:val="both"/>
      </w:pPr>
      <w:r>
        <w:t>Note. Entries show Greedy / seeded-GA mean in minutes. Unassigned priority counts match, although assigned task identities can differ.</w:t>
      </w:r>
    </w:p>
    <w:p>
      <w:pPr>
        <w:jc w:val="both"/>
      </w:pPr>
      <w:r>
        <w:t>Compatible priority coverage is a weaker condition than identical assigned task sets. The frontend therefore applies a stricter comparison rule before presenting workload-matched percentage improvements. This distinction prevents the experiment’s objective gaps from being presented as guaranteed travel-time reductions for the same repairs.</w:t>
      </w:r>
    </w:p>
    <w:p>
      <w:pPr>
        <w:pStyle w:val="Heading2"/>
        <w:pageBreakBefore w:val="0"/>
        <w:jc w:val="left"/>
      </w:pPr>
      <w:bookmarkStart w:id="2025" w:name="_RGI_26"/>
      <w:r>
        <w:t>6.4 Integrated Workflow Verification</w:t>
      </w:r>
      <w:bookmarkEnd w:id="2025"/>
    </w:p>
    <w:p>
      <w:pPr>
        <w:jc w:val="both"/>
      </w:pPr>
      <w:r>
        <w:t>The 18 October integration record documents 20 acceptance groups and 201 HTTP requests through the frontend proxy. Checks covered real-model upload, confidence boundaries 0.60/0.5999, no-detection handling, review correction, idempotent replay, invalid-image rejection, task completion, disabled crews, stale plans, version conflicts and complete assigned/unassigned accounting. In the 20-task demonstration, both planners assigned 12 and explicitly returned eight shift-limit exclusions; no P1 task was omitted. This is a workflow result on constructed inputs, not a new independent algorithm benchmark.</w:t>
      </w:r>
    </w:p>
    <w:p>
      <w:pPr>
        <w:jc w:val="both"/>
      </w:pPr>
      <w:r>
        <w:t>The later authenticated release is identified by merge commit d48b877. Its release manifest records 973 backend tests passed, one skipped, 152 frontend tests, 49 CI guardrail tests, passing contract/repository checks and successful remote CI. These results support implementation reliability within the tested cases. They do not measure user productivity, model accuracy, real traffic performance or operational safety. The GPT/RAG assistant backend and its proposed change-confirmation flow were not implemented or evaluated; the interface identifies that boundary.</w:t>
      </w:r>
    </w:p>
    <w:p>
      <w:pPr>
        <w:pStyle w:val="ReportCaption"/>
        <w:keepNext/>
        <w:jc w:val="left"/>
      </w:pPr>
      <w:r>
        <w:rPr>
          <w:b/>
        </w:rPr>
        <w:t xml:space="preserve">Table 15. </w:t>
      </w:r>
      <w:r>
        <w:t>Recorded integration and release checks</w:t>
      </w:r>
    </w:p>
    <w:tbl>
      <w:tblPr>
        <w:tblW w:type="auto" w:w="0"/>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Evidence</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Recorded result</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Scope</w:t>
            </w:r>
          </w:p>
        </w:tc>
      </w:tr>
      <w:tr>
        <w:trPr>
          <w:cantSplit/>
        </w:trPr>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Integration HTTP acceptance</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20 groups / 201 requests</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Recorded 18 October workflow checks</w:t>
            </w:r>
          </w:p>
        </w:tc>
      </w:tr>
      <w:tr>
        <w:trPr>
          <w:cantSplit/>
        </w:trPr>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Released backend regression</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973 passed / 1 skipped</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Authenticated release</w:t>
            </w:r>
          </w:p>
        </w:tc>
      </w:tr>
      <w:tr>
        <w:trPr>
          <w:cantSplit/>
        </w:trPr>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Released frontend tests</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152</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Authenticated release</w:t>
            </w:r>
          </w:p>
        </w:tc>
      </w:tr>
      <w:tr>
        <w:trPr>
          <w:cantSplit/>
        </w:trPr>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CI guardrail tests</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49</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Release/repository checks</w:t>
            </w:r>
          </w:p>
        </w:tc>
      </w:tr>
      <w:tr>
        <w:trPr>
          <w:cantSplit/>
        </w:trPr>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GPT/RAG evaluation</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Not available</w:t>
            </w:r>
          </w:p>
        </w:tc>
        <w:tc>
          <w:tcPr>
            <w:tcW w:type="dxa" w:w="3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Backend not implemented</w:t>
            </w:r>
          </w:p>
        </w:tc>
      </w:tr>
    </w:tbl>
    <w:p>
      <w:pPr>
        <w:pStyle w:val="TableNote"/>
        <w:spacing w:before="120"/>
        <w:jc w:val="both"/>
      </w:pPr>
      <w:r>
        <w:t>Note. These records have distinct scopes and are not combined into an overall quality score.</w:t>
      </w:r>
    </w:p>
    <w:p>
      <w:pPr>
        <w:jc w:val="both"/>
      </w:pPr>
      <w:r>
        <w:t>The submitted evaluation plan is reconciled below with available evidence. Deterministic rule and confidence-branch tests use injected detections; they verify software behaviour rather than detector quality. The 80 offline ranking-policy comparisons do not replace the proposed automatic-acceptance precision and review-rate study, and the overall regression-test count does not establish expert validity of the repair rules.</w:t>
      </w:r>
    </w:p>
    <w:p>
      <w:pPr>
        <w:pStyle w:val="ReportCaption"/>
        <w:keepNext/>
        <w:jc w:val="left"/>
      </w:pPr>
      <w:r>
        <w:rPr>
          <w:b/>
        </w:rPr>
        <w:t xml:space="preserve">Table 16. </w:t>
      </w:r>
      <w:r>
        <w:t>Evaluation coverage against the original project objectives</w:t>
      </w:r>
    </w:p>
    <w:tbl>
      <w:tblPr>
        <w:tblW w:type="auto" w:w="0"/>
        <w:tblLayout w:type="fixed"/>
        <w:tblLook w:firstColumn="1" w:firstRow="1" w:lastColumn="0" w:lastRow="0" w:noHBand="0" w:noVBand="1" w:val="04A0"/>
      </w:tblPr>
      <w:tblGrid>
        <w:gridCol w:w="4680"/>
        <w:gridCol w:w="4680"/>
      </w:tblGrid>
      <w:tr>
        <w:trPr>
          <w:cantSplit/>
          <w:tblHeader/>
        </w:trPr>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Planned area</w:t>
            </w:r>
          </w:p>
        </w:tc>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Delivered evidence and remaining gap</w:t>
            </w:r>
          </w:p>
        </w:tc>
      </w:tr>
      <w:tr>
        <w:trPr>
          <w:cantSplit/>
        </w:trPr>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Image recognition</w:t>
            </w:r>
          </w:p>
        </w:tc>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Recorded validation experiments and historical n10 test; no independent final-model local test.</w:t>
            </w:r>
          </w:p>
        </w:tc>
      </w:tr>
      <w:tr>
        <w:trPr>
          <w:cantSplit/>
        </w:trPr>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Confidence gate</w:t>
            </w:r>
          </w:p>
        </w:tc>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Functional 0.60/0.5999 boundaries, no-detection and replay checks; automatic-acceptance precision and review-rate study not completed.</w:t>
            </w:r>
          </w:p>
        </w:tc>
      </w:tr>
      <w:tr>
        <w:trPr>
          <w:cantSplit/>
        </w:trPr>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Priority rules</w:t>
            </w:r>
          </w:p>
        </w:tc>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Eight labels × automatic/review-correction paths, frozen-policy and boundary tests; priorities and service times remain unvalidated demonstration rules.</w:t>
            </w:r>
          </w:p>
        </w:tc>
      </w:tr>
      <w:tr>
        <w:trPr>
          <w:cantSplit/>
        </w:trPr>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Route planning</w:t>
            </w:r>
          </w:p>
        </w:tc>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10/15/20-task four-crew experiments under revised scope; explicit recalculation. Deadlines absent, so lateness is not evaluated.</w:t>
            </w:r>
          </w:p>
        </w:tc>
      </w:tr>
      <w:tr>
        <w:trPr>
          <w:cantSplit/>
        </w:trPr>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GPT/RAG</w:t>
            </w:r>
          </w:p>
        </w:tc>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Proposed ten route questions and ten supported changes not executed because the assistant service is absent.</w:t>
            </w:r>
          </w:p>
        </w:tc>
      </w:tr>
      <w:tr>
        <w:trPr>
          <w:cantSplit/>
        </w:trPr>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Whole system</w:t>
            </w:r>
          </w:p>
        </w:tc>
        <w:tc>
          <w:tcPr>
            <w:tcW w:type="dxa" w:w="468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Dated desktop integration and HTTP acceptance delivered. Any later mobile checks require their separate acceptance evidence.</w:t>
            </w:r>
          </w:p>
        </w:tc>
      </w:tr>
    </w:tbl>
    <w:p>
      <w:pPr>
        <w:pStyle w:val="ReportCaption"/>
        <w:keepNext/>
        <w:jc w:val="left"/>
      </w:pPr>
      <w:r>
        <w:rPr>
          <w:b/>
        </w:rPr>
        <w:t xml:space="preserve">Table 17. </w:t>
      </w:r>
      <w:r>
        <w:t>Workflow acceptance boundaries</w:t>
      </w:r>
    </w:p>
    <w:tbl>
      <w:tblPr>
        <w:tblW w:type="auto" w:w="0"/>
        <w:tblLayout w:type="fixed"/>
        <w:tblLook w:firstColumn="1" w:firstRow="1" w:lastColumn="0" w:lastRow="0" w:noHBand="0" w:noVBand="1" w:val="04A0"/>
      </w:tblPr>
      <w:tblGrid>
        <w:gridCol w:w="2235"/>
        <w:gridCol w:w="3772"/>
        <w:gridCol w:w="3353"/>
      </w:tblGrid>
      <w:tr>
        <w:trPr>
          <w:cantSplit/>
          <w:tblHeader/>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Case</w:t>
            </w:r>
          </w:p>
        </w:tc>
        <w:tc>
          <w:tcPr>
            <w:tcW w:type="dxa" w:w="37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Expected behaviour</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Evidence status</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0.60 versus 0.5999</w:t>
            </w:r>
          </w:p>
        </w:tc>
        <w:tc>
          <w:tcPr>
            <w:tcW w:type="dxa" w:w="37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Automatic task versus pending review</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Recorded controlled boundary checks</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No detection or rejected review</w:t>
            </w:r>
          </w:p>
        </w:tc>
        <w:tc>
          <w:tcPr>
            <w:tcW w:type="dxa" w:w="37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No active task created</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Recorded workflow checks</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Duplicate or stale write</w:t>
            </w:r>
          </w:p>
        </w:tc>
        <w:tc>
          <w:tcPr>
            <w:tcW w:type="dxa" w:w="37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Idempotent replay or version conflict</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Recorded API and regression checks</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 crews disabled</w:t>
            </w:r>
          </w:p>
        </w:tc>
        <w:tc>
          <w:tcPr>
            <w:tcW w:type="dxa" w:w="37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Tasks retained with no_available_crew</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Recorded API checks</w:t>
            </w:r>
          </w:p>
        </w:tc>
      </w:tr>
      <w:tr>
        <w:trPr>
          <w:cantSplit/>
        </w:trPr>
        <w:tc>
          <w:tcPr>
            <w:tcW w:type="dxa" w:w="223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Cross-role or cross-crew access</w:t>
            </w:r>
          </w:p>
        </w:tc>
        <w:tc>
          <w:tcPr>
            <w:tcW w:type="dxa" w:w="37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Request rejected by backend</w:t>
            </w:r>
          </w:p>
        </w:tc>
        <w:tc>
          <w:tcPr>
            <w:tcW w:type="dxa" w:w="335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Authenticated release tests</w:t>
            </w:r>
          </w:p>
        </w:tc>
      </w:tr>
    </w:tbl>
    <w:p>
      <w:pPr>
        <w:pStyle w:val="Heading1"/>
        <w:pageBreakBefore/>
        <w:jc w:val="left"/>
      </w:pPr>
      <w:bookmarkStart w:id="2026" w:name="_RGI_27"/>
      <w:r>
        <w:t>7 Conclusions and Future Work</w:t>
      </w:r>
      <w:bookmarkEnd w:id="2026"/>
    </w:p>
    <w:p>
      <w:pPr>
        <w:pStyle w:val="Heading2"/>
        <w:pageBreakBefore w:val="0"/>
        <w:jc w:val="left"/>
      </w:pPr>
      <w:bookmarkStart w:id="2027" w:name="_RGI_28"/>
      <w:r>
        <w:t>7.1 Main Findings and Limitations</w:t>
      </w:r>
      <w:bookmarkEnd w:id="2027"/>
    </w:p>
    <w:p>
      <w:pPr>
        <w:jc w:val="both"/>
      </w:pPr>
      <w:r>
        <w:t>RoadGuard connects uncertain visual evidence to reviewable decisions and constrained crew plans. Versioned rules and stale-plan detection support traceability. The experiments demonstrate trade-offs between urgent completion, travel and workload. Explicit unassigned reasons remain necessary because route optimisation cannot create service capacity.</w:t>
      </w:r>
    </w:p>
    <w:p>
      <w:pPr>
        <w:jc w:val="both"/>
      </w:pPr>
      <w:r>
        <w:t>External validity remains limited. Reused RDD2022ES validation data, one training seed, sparse severe subtypes, known-photo checks and the single-object assumption cannot establish general performance in Jurong. Routing uses one synthetic task family and one historical Google snapshot; ten seeds measure search variability on these inputs. Shift length, depot-return policy and objective weights remain assumptions. Equal priority coverage can conceal different assigned tasks. No significance test, exact optimum, measured repair duration, staff-time saving or monetary return is established.</w:t>
      </w:r>
    </w:p>
    <w:p>
      <w:pPr>
        <w:pStyle w:val="Heading2"/>
        <w:pageBreakBefore w:val="0"/>
        <w:jc w:val="left"/>
      </w:pPr>
      <w:bookmarkStart w:id="2028" w:name="_RGI_29"/>
      <w:r>
        <w:t>7.2 Future Work</w:t>
      </w:r>
      <w:bookmarkEnd w:id="2028"/>
    </w:p>
    <w:p>
      <w:r>
        <w:t>Further evaluation should use held-out, expert-labelled local images, class-specific confidence calibration and measured review workload. Routing needs independent task distributions, verified road access, measured service durations, multiple travel-time periods and bounded or exact small-instance reference solutions. Coordinated repair operators could address the observed insertion barrier. GPT/RAG requires grounded-answer, citation and change-confirmation tests before inclusion as an evaluated capability.</w:t>
      </w:r>
    </w:p>
    <w:p>
      <w:pPr>
        <w:pStyle w:val="Heading2"/>
        <w:pageBreakBefore w:val="0"/>
        <w:jc w:val="left"/>
      </w:pPr>
      <w:bookmarkStart w:id="2029" w:name="_RGI_30"/>
      <w:r>
        <w:t>7.3 Conclusion</w:t>
      </w:r>
      <w:bookmarkEnd w:id="2029"/>
    </w:p>
    <w:p>
      <w:pPr>
        <w:jc w:val="both"/>
      </w:pPr>
      <w:r>
        <w:t>RoadGuard integrates visual perception, explicit rules and evolutionary scheduling. Acceptance checks support the inspection-to-dispatch workflow, and controlled experiments demonstrate modest recognition gains and improvements from Greedy-seeded search. Unresolved recognition quality, capacity limits and incomplete assistant functionality constrain its use. Operational deployment requires independent local validation and measured business outcomes.</w:t>
      </w:r>
    </w:p>
    <w:sectPr>
      <w:headerReference w:type="default" r:id="rId32"/>
      <w:footerReference w:type="default" r:id="rId33"/>
      <w:pgSz w:w="12240" w:h="15840"/>
      <w:pgMar w:top="1296" w:bottom="1296" w:left="1440" w:right="1440" w:header="576" w:footer="576"/>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RoadGuard  |  Group 7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b w:val="0"/>
        <w:i/>
        <w:color w:val="000000"/>
        <w:sz w:val="18"/>
      </w:rPr>
      <w:t>RoadGuard  |  Group 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rPr>
      <w:rFonts w:ascii="Times New Roman" w:hAnsi="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320" w:after="180" w:line="264" w:lineRule="auto"/>
      <w:outlineLvl w:val="0"/>
    </w:pPr>
    <w:rPr>
      <w:rFonts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80" w:line="264" w:lineRule="auto"/>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20" w:after="180" w:line="264" w:lineRule="auto"/>
      <w:outlineLvl w:val="2"/>
    </w:pPr>
    <w:rPr>
      <w:rFonts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rPr>
      <w:rFonts w:ascii="Times New Roman" w:hAnsi="Times New Roman"/>
      <w:color w:val="000000"/>
    </w:rPr>
  </w:style>
  <w:style w:type="table" w:default="1" w:styleId="TableNormal">
    <w:name w:val="Normal Table"/>
    <w:uiPriority w:val="99"/>
    <w:semiHidden/>
    <w:unhideWhenUsed/>
    <w:rPr>
      <w:rFonts w:ascii="Times New Roman" w:hAnsi="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imes New Roman" w:hAnsi="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000000"/>
    </w:rPr>
  </w:style>
  <w:style w:type="paragraph" w:styleId="Title">
    <w:name w:val="Title"/>
    <w:basedOn w:val="Normal"/>
    <w:next w:val="Normal"/>
    <w:link w:val="TitleChar"/>
    <w:uiPriority w:val="10"/>
    <w:qFormat/>
    <w:rsid w:val="00FC693F"/>
    <w:pPr>
      <w:keepNext/>
      <w:spacing w:after="180" w:line="264" w:lineRule="auto" w:before="0"/>
      <w:contextualSpacing/>
    </w:pPr>
    <w:rPr>
      <w:rFonts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imes New Roman" w:hAnsi="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rPr>
      <w:rFonts w:ascii="Times New Roman" w:hAnsi="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rFonts w:ascii="Times New Roman" w:hAnsi="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000000"/>
      <w:sz w:val="20"/>
      <w:szCs w:val="20"/>
    </w:rPr>
  </w:style>
  <w:style w:type="paragraph" w:styleId="Caption">
    <w:name w:val="caption"/>
    <w:basedOn w:val="Normal"/>
    <w:next w:val="Normal"/>
    <w:uiPriority w:val="35"/>
    <w:semiHidden/>
    <w:unhideWhenUsed/>
    <w:qFormat/>
    <w:rsid w:val="00FC693F"/>
    <w:pPr>
      <w:spacing w:line="247" w:lineRule="auto" w:after="160"/>
    </w:pPr>
    <w:rPr>
      <w:rFonts w:ascii="Times New Roman" w:hAnsi="Times New Roman"/>
      <w:b/>
      <w:bCs/>
      <w:i w:val="0"/>
      <w:color w:val="000000"/>
      <w:sz w:val="18"/>
      <w:szCs w:val="18"/>
    </w:rPr>
  </w:style>
  <w:style w:type="character" w:styleId="Strong">
    <w:name w:val="Strong"/>
    <w:basedOn w:val="DefaultParagraphFont"/>
    <w:uiPriority w:val="22"/>
    <w:qFormat/>
    <w:rsid w:val="00FC693F"/>
    <w:rPr>
      <w:rFonts w:ascii="Times New Roman" w:hAnsi="Times New Roman"/>
      <w:b/>
      <w:bCs/>
      <w:color w:val="000000"/>
    </w:rPr>
  </w:style>
  <w:style w:type="character" w:styleId="Emphasis">
    <w:name w:val="Emphasis"/>
    <w:basedOn w:val="DefaultParagraphFont"/>
    <w:uiPriority w:val="20"/>
    <w:qFormat/>
    <w:rsid w:val="00FC693F"/>
    <w:rPr>
      <w:rFonts w:ascii="Times New Roman" w:hAnsi="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rPr>
  </w:style>
  <w:style w:type="character" w:styleId="SubtleEmphasis">
    <w:name w:val="Subtle Emphasis"/>
    <w:basedOn w:val="DefaultParagraphFont"/>
    <w:uiPriority w:val="19"/>
    <w:qFormat/>
    <w:rsid w:val="00FC693F"/>
    <w:rPr>
      <w:rFonts w:ascii="Times New Roman" w:hAnsi="Times New Roman"/>
      <w:i/>
      <w:iCs/>
      <w:color w:val="000000"/>
    </w:rPr>
  </w:style>
  <w:style w:type="character" w:styleId="IntenseEmphasis">
    <w:name w:val="Intense Emphasis"/>
    <w:basedOn w:val="DefaultParagraphFont"/>
    <w:uiPriority w:val="21"/>
    <w:qFormat/>
    <w:rsid w:val="00FC693F"/>
    <w:rPr>
      <w:rFonts w:ascii="Times New Roman" w:hAnsi="Times New Roman"/>
      <w:b/>
      <w:bCs/>
      <w:i/>
      <w:iCs/>
      <w:color w:val="000000"/>
    </w:rPr>
  </w:style>
  <w:style w:type="character" w:styleId="SubtleReference">
    <w:name w:val="Subtle Reference"/>
    <w:basedOn w:val="DefaultParagraphFont"/>
    <w:uiPriority w:val="31"/>
    <w:qFormat/>
    <w:rsid w:val="00FC693F"/>
    <w:rPr>
      <w:rFonts w:ascii="Times New Roman" w:hAnsi="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rPr>
      <w:rFonts w:ascii="Times New Roman" w:hAnsi="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basedOn w:val="Normal"/>
    <w:pPr>
      <w:spacing w:line="264" w:lineRule="auto" w:after="120" w:before="160"/>
    </w:pPr>
    <w:rPr>
      <w:rFonts w:ascii="Times New Roman" w:hAnsi="Times New Roman"/>
      <w:b w:val="0"/>
      <w:color w:val="000000"/>
      <w:sz w:val="21"/>
    </w:rPr>
  </w:style>
  <w:style w:type="paragraph" w:customStyle="1" w:styleId="TableNote">
    <w:name w:val="Table Note"/>
    <w:basedOn w:val="Normal"/>
    <w:pPr>
      <w:spacing w:line="264" w:lineRule="auto" w:after="120" w:before="80"/>
    </w:pPr>
    <w:rPr>
      <w:rFonts w:ascii="Times New Roman" w:hAnsi="Times New Roman"/>
      <w:b w:val="0"/>
      <w:color w:val="000000"/>
      <w:sz w:val="20"/>
    </w:rPr>
  </w:style>
  <w:style w:type="paragraph" w:customStyle="1" w:styleId="Reference">
    <w:name w:val="Reference"/>
    <w:basedOn w:val="Normal"/>
    <w:pPr>
      <w:spacing w:line="252" w:lineRule="auto" w:after="60"/>
      <w:ind w:left="403" w:hanging="403"/>
      <w:jc w:val="left"/>
    </w:pPr>
    <w:rPr>
      <w:rFonts w:ascii="Times New Roman" w:hAnsi="Times New Roman"/>
      <w:b w:val="0"/>
      <w:color w:val="000000"/>
      <w:sz w:val="21"/>
    </w:rPr>
  </w:style>
  <w:style w:type="paragraph" w:customStyle="1" w:styleId="Code">
    <w:name w:val="Code"/>
    <w:basedOn w:val="Normal"/>
    <w:pPr>
      <w:spacing w:line="264" w:lineRule="auto" w:after="120"/>
    </w:pPr>
    <w:rPr>
      <w:rFonts w:ascii="Consolas" w:hAnsi="Consolas"/>
      <w:b w:val="0"/>
      <w:color w:val="000000"/>
      <w:sz w:val="18"/>
    </w:rPr>
  </w:style>
  <w:style w:type="paragraph" w:customStyle="1" w:styleId="TOC1">
    <w:name w:val="TOC 1"/>
    <w:basedOn w:val="Normal"/>
    <w:pPr>
      <w:tabs>
        <w:tab w:pos="9288" w:val="right" w:leader="dot"/>
      </w:tabs>
      <w:spacing w:line="264" w:lineRule="auto" w:after="80"/>
      <w:ind w:left="0"/>
      <w:jc w:val="left"/>
    </w:pPr>
    <w:rPr>
      <w:rFonts w:ascii="Times New Roman" w:hAnsi="Times New Roman"/>
      <w:b/>
      <w:color w:val="000000"/>
      <w:sz w:val="22"/>
    </w:rPr>
  </w:style>
  <w:style w:type="paragraph" w:customStyle="1" w:styleId="TOC2">
    <w:name w:val="TOC 2"/>
    <w:basedOn w:val="Normal"/>
    <w:pPr>
      <w:tabs>
        <w:tab w:pos="9288" w:val="right" w:leader="dot"/>
      </w:tabs>
      <w:spacing w:line="264" w:lineRule="auto" w:after="80"/>
      <w:ind w:left="317"/>
      <w:jc w:val="left"/>
    </w:pPr>
    <w:rPr>
      <w:rFonts w:ascii="Times New Roman" w:hAnsi="Times New Roman"/>
      <w:b w:val="0"/>
      <w:color w:val="000000"/>
      <w:sz w:val="22"/>
    </w:rPr>
  </w:style>
  <w:style w:type="paragraph" w:customStyle="1" w:styleId="FrontHeading">
    <w:name w:val="Front Heading"/>
    <w:basedOn w:val="Normal"/>
    <w:pPr>
      <w:spacing w:line="264" w:lineRule="auto" w:after="120"/>
      <w:jc w:val="center"/>
    </w:pPr>
    <w:rPr>
      <w:rFonts w:ascii="Times New Roman" w:hAnsi="Times New Roman"/>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3" Type="http://schemas.openxmlformats.org/officeDocument/2006/relationships/header" Target="header1.xml"/><Relationship Id="rId14" Type="http://schemas.openxmlformats.org/officeDocument/2006/relationships/footer" Target="footer2.xml"/><Relationship Id="rId28" Type="http://schemas.openxmlformats.org/officeDocument/2006/relationships/header" Target="header2.xml"/><Relationship Id="rId29" Type="http://schemas.openxmlformats.org/officeDocument/2006/relationships/footer" Target="footer3.xml"/><Relationship Id="rId30" Type="http://schemas.openxmlformats.org/officeDocument/2006/relationships/header" Target="header3.xml"/><Relationship Id="rId31" Type="http://schemas.openxmlformats.org/officeDocument/2006/relationships/footer" Target="footer4.xml"/><Relationship Id="rId32" Type="http://schemas.openxmlformats.org/officeDocument/2006/relationships/header" Target="header4.xml"/><Relationship Id="rId33" Type="http://schemas.openxmlformats.org/officeDocument/2006/relationships/footer" Target="footer5.xml"/><Relationship Id="rId52" Type="http://schemas.openxmlformats.org/officeDocument/2006/relationships/header" Target="header5.xml"/><Relationship Id="rId53" Type="http://schemas.openxmlformats.org/officeDocument/2006/relationships/footer" Target="footer6.xml"/><Relationship Id="rId15" Type="http://schemas.openxmlformats.org/officeDocument/2006/relationships/image" Target="media/image4.jpg"/><Relationship Id="rId1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RoadGuard Final Project Report</dc:title>
  <dc:subject>Road damage detection and maintenance scheduling in Jurong</dc:subject>
  <dc:creator>Hu Erji; Yan GuanTing; Wu TaoYi</dc:creator>
  <cp:keywords/>
  <dc:description>generated by python-docx</dc:description>
  <cp:lastModifiedBy/>
  <cp:revision>1</cp:revision>
  <dcterms:created xsi:type="dcterms:W3CDTF">2026-10-19T00:00:00Z</dcterms:created>
  <dcterms:modified xsi:type="dcterms:W3CDTF">2026-10-19T00:00:00Z</dcterms:modified>
  <cp:category/>
</cp:coreProperties>
</file>