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225E0" w14:textId="2F45CB2B" w:rsidR="006045C6" w:rsidRDefault="00000000">
      <w:pPr>
        <w:spacing w:after="240"/>
        <w:jc w:val="center"/>
      </w:pPr>
      <w:r>
        <w:rPr>
          <w:b/>
          <w:bCs/>
          <w:sz w:val="32"/>
          <w:szCs w:val="32"/>
        </w:rPr>
        <w:t xml:space="preserve">[1주차] </w:t>
      </w:r>
      <w:r w:rsidR="006A472D">
        <w:rPr>
          <w:b/>
          <w:bCs/>
          <w:sz w:val="32"/>
          <w:szCs w:val="32"/>
          <w:lang w:eastAsia="ko-KR"/>
        </w:rPr>
        <w:t xml:space="preserve">CREDIT </w:t>
      </w:r>
      <w:r w:rsidR="006A472D">
        <w:rPr>
          <w:rFonts w:hint="eastAsia"/>
          <w:b/>
          <w:bCs/>
          <w:sz w:val="32"/>
          <w:szCs w:val="32"/>
          <w:lang w:eastAsia="ko-KR"/>
        </w:rPr>
        <w:t>팀_</w:t>
      </w:r>
      <w:r>
        <w:rPr>
          <w:b/>
          <w:bCs/>
          <w:sz w:val="32"/>
          <w:szCs w:val="32"/>
        </w:rPr>
        <w:t>프로젝트 주제 선정 보고서</w:t>
      </w:r>
    </w:p>
    <w:p w14:paraId="49C3E31B" w14:textId="19DED568" w:rsidR="006045C6" w:rsidRDefault="00000000">
      <w:pPr>
        <w:spacing w:after="40"/>
        <w:jc w:val="right"/>
      </w:pPr>
      <w:r>
        <w:t xml:space="preserve">2026년 8월 </w:t>
      </w:r>
      <w:r w:rsidR="006A472D">
        <w:rPr>
          <w:rFonts w:hint="eastAsia"/>
          <w:lang w:eastAsia="ko-KR"/>
        </w:rPr>
        <w:t>7</w:t>
      </w:r>
      <w:r>
        <w:t>일</w:t>
      </w:r>
    </w:p>
    <w:p w14:paraId="7AEC6FC0" w14:textId="557C61F2" w:rsidR="006045C6" w:rsidRPr="006A472D" w:rsidRDefault="006A472D">
      <w:pPr>
        <w:spacing w:after="120"/>
        <w:jc w:val="right"/>
        <w:rPr>
          <w:rFonts w:hint="eastAsia"/>
          <w:lang w:eastAsia="ko-KR"/>
        </w:rPr>
      </w:pPr>
      <w:r>
        <w:rPr>
          <w:lang w:eastAsia="ko-KR"/>
        </w:rPr>
        <w:t>CREDIT</w:t>
      </w:r>
      <w:r w:rsidR="00000000">
        <w:t xml:space="preserve"> |</w:t>
      </w:r>
      <w:r>
        <w:t xml:space="preserve"> </w:t>
      </w:r>
      <w:r>
        <w:rPr>
          <w:rFonts w:hint="eastAsia"/>
          <w:lang w:eastAsia="ko-KR"/>
        </w:rPr>
        <w:t>박지원</w:t>
      </w:r>
      <w:r w:rsidR="00000000">
        <w:t xml:space="preserve"> </w:t>
      </w:r>
      <w:r>
        <w:rPr>
          <w:rFonts w:hint="eastAsia"/>
          <w:lang w:eastAsia="ko-KR"/>
        </w:rPr>
        <w:t>이지은</w:t>
      </w:r>
      <w:r w:rsidR="00000000">
        <w:t xml:space="preserve"> </w:t>
      </w:r>
      <w:proofErr w:type="spellStart"/>
      <w:r>
        <w:rPr>
          <w:rFonts w:hint="eastAsia"/>
          <w:lang w:eastAsia="ko-KR"/>
        </w:rPr>
        <w:t>오영광</w:t>
      </w:r>
      <w:proofErr w:type="spellEnd"/>
      <w:r>
        <w:rPr>
          <w:rFonts w:hint="eastAsia"/>
          <w:lang w:eastAsia="ko-KR"/>
        </w:rPr>
        <w:t xml:space="preserve"> 김건우</w:t>
      </w:r>
    </w:p>
    <w:p w14:paraId="5B881CFF" w14:textId="77777777" w:rsidR="006045C6" w:rsidRDefault="00000000">
      <w:pPr>
        <w:spacing w:before="240" w:after="100"/>
      </w:pPr>
      <w:r>
        <w:rPr>
          <w:b/>
          <w:bCs/>
          <w:sz w:val="26"/>
          <w:szCs w:val="26"/>
        </w:rPr>
        <w:t>1  프로젝트 개요 및 주제 선정 배경</w:t>
      </w:r>
    </w:p>
    <w:p w14:paraId="0FCD5368" w14:textId="77777777" w:rsidR="006045C6" w:rsidRDefault="00000000">
      <w:pPr>
        <w:spacing w:before="150" w:after="50"/>
      </w:pPr>
      <w:r>
        <w:rPr>
          <w:b/>
          <w:bCs/>
          <w:sz w:val="21"/>
          <w:szCs w:val="21"/>
        </w:rPr>
        <w:t>1.1  프로젝트명 (가제)</w:t>
      </w:r>
    </w:p>
    <w:p w14:paraId="53057E6B" w14:textId="77777777" w:rsidR="006045C6" w:rsidRDefault="00000000">
      <w:pPr>
        <w:spacing w:after="60" w:line="288" w:lineRule="auto"/>
        <w:ind w:left="280"/>
        <w:jc w:val="both"/>
      </w:pPr>
      <w:r>
        <w:t>거래 시간대와 매체 패턴을 활용한 계좌이체 이상거래 탐지 모델 구축</w:t>
      </w:r>
    </w:p>
    <w:p w14:paraId="14CFAD35" w14:textId="77777777" w:rsidR="006045C6" w:rsidRDefault="00000000">
      <w:pPr>
        <w:spacing w:before="150" w:after="50"/>
      </w:pPr>
      <w:r>
        <w:rPr>
          <w:b/>
          <w:bCs/>
          <w:sz w:val="21"/>
          <w:szCs w:val="21"/>
        </w:rPr>
        <w:t>1.2  프로젝트 개요</w:t>
      </w:r>
    </w:p>
    <w:p w14:paraId="7E349807" w14:textId="77777777" w:rsidR="006045C6" w:rsidRDefault="00000000">
      <w:pPr>
        <w:spacing w:after="60" w:line="288" w:lineRule="auto"/>
        <w:ind w:left="280"/>
        <w:jc w:val="both"/>
      </w:pPr>
      <w:r>
        <w:t>금융결제원 전자금융공동망 합성데이터를 활용하여, 계좌이체 거래 한 건 단위로 이상거래 여부를 판별하는 분류 모델을 구축한다. 원본 데이터는 거래일자, 거래시간대, 출금·입금 계좌, 거래금액, 매체구분 등 10여 개 컬럼으로만 구성되어 있으므로, 계좌별 과거 거래 이력을 집계한 파생변수를 설계하는 것이 분석의 핵심이다. 최종 결과물은 거래별 이상 확률을 산출하는 모델과, 어떤 변수가 판단에 기여했는지를 제시하는 해석 결과이다.</w:t>
      </w:r>
    </w:p>
    <w:p w14:paraId="42B93336" w14:textId="77777777" w:rsidR="006045C6" w:rsidRDefault="00000000">
      <w:pPr>
        <w:spacing w:before="150" w:after="50"/>
      </w:pPr>
      <w:r>
        <w:rPr>
          <w:b/>
          <w:bCs/>
          <w:sz w:val="21"/>
          <w:szCs w:val="21"/>
        </w:rPr>
        <w:t>1.3  연구 질문</w:t>
      </w:r>
    </w:p>
    <w:p w14:paraId="55EE8365" w14:textId="77777777" w:rsidR="006045C6" w:rsidRDefault="00000000">
      <w:pPr>
        <w:spacing w:after="60" w:line="288" w:lineRule="auto"/>
        <w:ind w:left="800" w:hanging="520"/>
        <w:jc w:val="both"/>
      </w:pPr>
      <w:r>
        <w:t>1.3.1  심야 시간대, 과거 거래 이력이 없는 수취계좌, 평소와 다른 접속 매체라는 세 가지 조건이 실제로 이상거래를 구분하는가.</w:t>
      </w:r>
    </w:p>
    <w:p w14:paraId="3A339F4B" w14:textId="77777777" w:rsidR="006045C6" w:rsidRDefault="00000000">
      <w:pPr>
        <w:spacing w:after="60" w:line="288" w:lineRule="auto"/>
        <w:ind w:left="800" w:hanging="520"/>
        <w:jc w:val="both"/>
      </w:pPr>
      <w:r>
        <w:t>1.3.2  사람이 해석할 수 있는 행동 기반 변수만으로, 그래프 특징을 사용한 공개 베이스라인 수준의 탐지 성능에 도달할 수 있는가.</w:t>
      </w:r>
    </w:p>
    <w:p w14:paraId="6972E5C6" w14:textId="77777777" w:rsidR="006045C6" w:rsidRDefault="00000000">
      <w:pPr>
        <w:spacing w:before="150" w:after="50"/>
      </w:pPr>
      <w:r>
        <w:rPr>
          <w:b/>
          <w:bCs/>
          <w:sz w:val="21"/>
          <w:szCs w:val="21"/>
        </w:rPr>
        <w:t>1.4  주제 선정 동기</w:t>
      </w:r>
    </w:p>
    <w:p w14:paraId="77E5BB7C" w14:textId="77777777" w:rsidR="006045C6" w:rsidRDefault="00000000">
      <w:pPr>
        <w:spacing w:after="60" w:line="288" w:lineRule="auto"/>
        <w:ind w:left="280"/>
        <w:jc w:val="both"/>
      </w:pPr>
      <w:r>
        <w:t>현행 이상금융거래탐지시스템(FDS)은 "심야 시간대 그리고 일정 금액 이상"과 같은 고정 임계값 룰에 의존한다. 이 방식은 전세금이나 사업자금 같은 정상 고액이체를 다수 오탐하며, 임계값이 알려지면 금액을 분할하는 방식으로 회피된다. 그동안 실거래 기반의 사기 라벨 데이터는 개인정보 문제로 확보가 어려웠으나, 2026년 6월 AI Hub를 통해 이상거래 라벨이 부여된 전자금융공동망 합성데이터가 개방되면서 정량적 검증이 가능해졌다.</w:t>
      </w:r>
    </w:p>
    <w:p w14:paraId="43568D17" w14:textId="77777777" w:rsidR="006045C6" w:rsidRDefault="00000000">
      <w:pPr>
        <w:spacing w:before="240" w:after="100"/>
      </w:pPr>
      <w:r>
        <w:rPr>
          <w:b/>
          <w:bCs/>
          <w:sz w:val="26"/>
          <w:szCs w:val="26"/>
        </w:rPr>
        <w:t>2  핵심 목표 및 분석 방향</w:t>
      </w:r>
    </w:p>
    <w:p w14:paraId="6A6F8DBC" w14:textId="77777777" w:rsidR="006045C6" w:rsidRDefault="00000000">
      <w:pPr>
        <w:spacing w:before="150" w:after="50"/>
      </w:pPr>
      <w:r>
        <w:rPr>
          <w:b/>
          <w:bCs/>
          <w:sz w:val="21"/>
          <w:szCs w:val="21"/>
        </w:rPr>
        <w:t>2.1  필요 데이터</w:t>
      </w:r>
    </w:p>
    <w:p w14:paraId="549D5218" w14:textId="77777777" w:rsidR="006045C6" w:rsidRDefault="00000000">
      <w:pPr>
        <w:spacing w:after="60" w:line="288" w:lineRule="auto"/>
        <w:ind w:left="800" w:hanging="520"/>
        <w:jc w:val="both"/>
      </w:pPr>
      <w:r>
        <w:t>2.1.1  이상 판별을 위한 금융거래 정보 및 사용자 패턴 합성데이터 (AI Hub) — 금융결제원 전자금융공동망 2021~2024년 자료를 기반으로 생성된 합성데이터</w:t>
      </w:r>
    </w:p>
    <w:p w14:paraId="326332AB" w14:textId="77777777" w:rsidR="006045C6" w:rsidRDefault="00000000">
      <w:pPr>
        <w:spacing w:after="60" w:line="300" w:lineRule="auto"/>
        <w:ind w:left="1080" w:hanging="200"/>
      </w:pPr>
      <w:r>
        <w:t>– 전자금융공동망 4,926,785건, 이 중 이상거래 19,084건(0.39%). 연도-분기 단위 14개 CSV 파일</w:t>
      </w:r>
    </w:p>
    <w:p w14:paraId="229B9CB2" w14:textId="77777777" w:rsidR="006045C6" w:rsidRDefault="00000000">
      <w:pPr>
        <w:spacing w:after="60" w:line="300" w:lineRule="auto"/>
        <w:ind w:left="1080" w:hanging="200"/>
      </w:pPr>
      <w:r>
        <w:t>– 주요 변수: 거래일자, 거래시간대, 출금·입금 금융회사 일련번호, 출금·입금 계좌 일련번호, 거</w:t>
      </w:r>
      <w:r>
        <w:lastRenderedPageBreak/>
        <w:t>래금액, 매체구분, 자금구분, 이상거래여부, 이상거래유형</w:t>
      </w:r>
    </w:p>
    <w:p w14:paraId="46D71295" w14:textId="77777777" w:rsidR="006045C6" w:rsidRDefault="00000000">
      <w:pPr>
        <w:spacing w:after="60" w:line="288" w:lineRule="auto"/>
        <w:ind w:left="800" w:hanging="520"/>
        <w:jc w:val="both"/>
      </w:pPr>
      <w:r>
        <w:t>2.1.2  파생변수: 수취계좌 신규 여부, 출금계좌의 과거 이체금액 대비 표준화 점수, 심야 여부, 평소 사용 매체와의 불일치 여부, 당일 이체 건수 등을 설계한다. 모든 파생변수는 해당 거래 시점 이전 데이터만으로 계산한다.</w:t>
      </w:r>
    </w:p>
    <w:p w14:paraId="43F0C7A1" w14:textId="77777777" w:rsidR="006045C6" w:rsidRDefault="00000000">
      <w:pPr>
        <w:spacing w:after="60" w:line="288" w:lineRule="auto"/>
        <w:ind w:left="800" w:hanging="520"/>
        <w:jc w:val="both"/>
      </w:pPr>
      <w:r>
        <w:t>2.1.3  동일 데이터셋에 포함된 카드거래 합성데이터(2,169,857건, 이상거래 3.7%)는 이상거래 비율이 다른 조건에서의 비교 대상으로 검토한다.</w:t>
      </w:r>
    </w:p>
    <w:p w14:paraId="07273BBE" w14:textId="77777777" w:rsidR="006045C6" w:rsidRDefault="00000000">
      <w:pPr>
        <w:spacing w:before="150" w:after="50"/>
      </w:pPr>
      <w:r>
        <w:rPr>
          <w:b/>
          <w:bCs/>
          <w:sz w:val="21"/>
          <w:szCs w:val="21"/>
        </w:rPr>
        <w:t>2.2  분석 목표 및 평가 지표</w:t>
      </w:r>
    </w:p>
    <w:p w14:paraId="072B89BF" w14:textId="7FDBA17B" w:rsidR="006045C6" w:rsidRDefault="00000000">
      <w:pPr>
        <w:spacing w:after="60" w:line="288" w:lineRule="auto"/>
        <w:ind w:left="800" w:hanging="520"/>
        <w:jc w:val="both"/>
      </w:pPr>
      <w:r>
        <w:t>2.2.1  이상거래 비율이 0.39%이므로 정확도는 사용하지 않는다. 이상거래 클래스의 F1 점</w:t>
      </w:r>
      <w:r w:rsidR="00510E25">
        <w:rPr>
          <w:rFonts w:hint="eastAsia"/>
          <w:lang w:eastAsia="ko-KR"/>
        </w:rPr>
        <w:t>수</w:t>
      </w:r>
      <w:r>
        <w:t>와 PR-AUC를 주 지표로 삼으며, Minority F1 0.70 이상을 목표로 한다.</w:t>
      </w:r>
    </w:p>
    <w:p w14:paraId="2C500DD3" w14:textId="0FCB3AD4" w:rsidR="006045C6" w:rsidRDefault="00000000">
      <w:pPr>
        <w:spacing w:after="60" w:line="288" w:lineRule="auto"/>
        <w:ind w:left="800" w:hanging="520"/>
        <w:jc w:val="both"/>
      </w:pPr>
      <w:r>
        <w:t>2.2.2  "심야 그리고 고액" 단순 룰을 베이스라인으로 두고, 동일한 재현율 조건에서 오탐</w:t>
      </w:r>
      <w:r w:rsidR="00510E25">
        <w:rPr>
          <w:rFonts w:hint="eastAsia"/>
          <w:lang w:eastAsia="ko-KR"/>
        </w:rPr>
        <w:t xml:space="preserve"> </w:t>
      </w:r>
      <w:r>
        <w:t>건수를 얼마나 줄이는지 비교한다.</w:t>
      </w:r>
    </w:p>
    <w:p w14:paraId="162F1C4A" w14:textId="77777777" w:rsidR="006045C6" w:rsidRDefault="00000000">
      <w:pPr>
        <w:spacing w:after="60" w:line="288" w:lineRule="auto"/>
        <w:ind w:left="800" w:hanging="520"/>
        <w:jc w:val="both"/>
      </w:pPr>
      <w:r>
        <w:t>2.2.3  학습·검증·테스트 자료는 시간 순으로 분할한다(2021~2023년 학습, 2024년 테스트). 무작위 분할은 미래 정보가 학습에 섞이므로 사용하지 않는다.</w:t>
      </w:r>
    </w:p>
    <w:p w14:paraId="285D050C" w14:textId="77777777" w:rsidR="006045C6" w:rsidRDefault="00000000">
      <w:pPr>
        <w:spacing w:after="60" w:line="288" w:lineRule="auto"/>
        <w:ind w:left="800" w:hanging="520"/>
        <w:jc w:val="both"/>
      </w:pPr>
      <w:r>
        <w:t xml:space="preserve">2.2.4  로지스틱 회귀를 해석 기준선으로 두고 </w:t>
      </w:r>
      <w:proofErr w:type="spellStart"/>
      <w:r>
        <w:t>LightGBM</w:t>
      </w:r>
      <w:proofErr w:type="spellEnd"/>
      <w:r>
        <w:t>으로 확장하며, SHAP으로 변수별 기여도를 산출하여 1.3.1의 가정이 성립하는지 확인한다.</w:t>
      </w:r>
    </w:p>
    <w:p w14:paraId="13975FC0" w14:textId="77777777" w:rsidR="006045C6" w:rsidRDefault="00000000">
      <w:pPr>
        <w:spacing w:before="240" w:after="100"/>
      </w:pPr>
      <w:r>
        <w:rPr>
          <w:b/>
          <w:bCs/>
          <w:sz w:val="26"/>
          <w:szCs w:val="26"/>
        </w:rPr>
        <w:t>3  기대 효과 및 활용 방안</w:t>
      </w:r>
    </w:p>
    <w:p w14:paraId="3140F9AE" w14:textId="77777777" w:rsidR="006045C6" w:rsidRDefault="00000000">
      <w:pPr>
        <w:spacing w:before="150" w:after="50"/>
      </w:pPr>
      <w:r>
        <w:rPr>
          <w:b/>
          <w:bCs/>
          <w:sz w:val="21"/>
          <w:szCs w:val="21"/>
        </w:rPr>
        <w:t>3.1  학술적 가치</w:t>
      </w:r>
    </w:p>
    <w:p w14:paraId="24B75324" w14:textId="77777777" w:rsidR="006045C6" w:rsidRDefault="00000000">
      <w:pPr>
        <w:spacing w:after="60" w:line="288" w:lineRule="auto"/>
        <w:ind w:left="280"/>
        <w:jc w:val="both"/>
      </w:pPr>
      <w:r>
        <w:t xml:space="preserve">데이터 제공 기관이 함께 공개한 참조 모델은 거래 간 관계를 반영한 그래프 특징과 SMOTE, </w:t>
      </w:r>
      <w:proofErr w:type="spellStart"/>
      <w:r>
        <w:t>LightGBM</w:t>
      </w:r>
      <w:proofErr w:type="spellEnd"/>
      <w:r>
        <w:t>을 결합한 구성으로, 성능은 확보되지만 판단 근거를 설명하기 어렵다. 본 프로젝트는 시간대와 매체, 수취계좌 이력처럼 사람이 해석할 수 있는 변수만으로 어느 수준까지 성능을 확보할 수 있는지를 동일 지표로 비교하여, 성능과 설명 가능성 사이의 교환 관계를 정량적으로 제시한다.</w:t>
      </w:r>
    </w:p>
    <w:p w14:paraId="27FD5822" w14:textId="029C980F" w:rsidR="006045C6" w:rsidRDefault="00000000" w:rsidP="00510E25">
      <w:pPr>
        <w:tabs>
          <w:tab w:val="left" w:pos="8023"/>
        </w:tabs>
        <w:spacing w:before="150" w:after="50"/>
      </w:pPr>
      <w:r>
        <w:rPr>
          <w:b/>
          <w:bCs/>
          <w:sz w:val="21"/>
          <w:szCs w:val="21"/>
        </w:rPr>
        <w:t>3.2  실무적 활용</w:t>
      </w:r>
      <w:r w:rsidR="00510E25">
        <w:rPr>
          <w:b/>
          <w:bCs/>
          <w:sz w:val="21"/>
          <w:szCs w:val="21"/>
        </w:rPr>
        <w:tab/>
      </w:r>
    </w:p>
    <w:p w14:paraId="3D2AD1D7" w14:textId="77777777" w:rsidR="006045C6" w:rsidRDefault="00000000">
      <w:pPr>
        <w:spacing w:after="60" w:line="288" w:lineRule="auto"/>
        <w:ind w:left="280"/>
        <w:jc w:val="both"/>
      </w:pPr>
      <w:r>
        <w:t>어떤 조건에서 이상거래 가능성이 높아지는지를 변수 기여도로 제시함으로써, 현행 룰의 임계값을 조정할 근거를 제공한다. 오탐 감소는 정상 고객의 거래가 차단되어 발생하는 불편을 줄이는 데 직접 활용될 수 있다.</w:t>
      </w:r>
    </w:p>
    <w:p w14:paraId="2EC0F581" w14:textId="77777777" w:rsidR="006045C6" w:rsidRDefault="00000000">
      <w:pPr>
        <w:spacing w:before="150" w:after="50"/>
      </w:pPr>
      <w:r>
        <w:rPr>
          <w:b/>
          <w:bCs/>
          <w:sz w:val="21"/>
          <w:szCs w:val="21"/>
        </w:rPr>
        <w:t>3.3  기술적 역량</w:t>
      </w:r>
    </w:p>
    <w:p w14:paraId="3B972BE2" w14:textId="77777777" w:rsidR="006045C6" w:rsidRDefault="00000000">
      <w:pPr>
        <w:spacing w:after="60" w:line="288" w:lineRule="auto"/>
        <w:ind w:left="280"/>
        <w:jc w:val="both"/>
      </w:pPr>
      <w:r>
        <w:t>본 프로젝트를 통해 팀원들은 약 493만 건 규모 시계열 데이터의 파생변수 설계와 정보 누수 없는 시간 기반 분할, 극단적 클래스 불균형 자료의 처리 기법과 적합한 평가 지표 선택, 트리 기반 부스팅 모델의 학습 및 SHAP을 활용한 모델 해석 기법을 습득한다.</w:t>
      </w:r>
    </w:p>
    <w:p w14:paraId="64AF67EA" w14:textId="77777777" w:rsidR="006A472D" w:rsidRDefault="006A472D">
      <w:pPr>
        <w:spacing w:before="240" w:after="100"/>
        <w:rPr>
          <w:b/>
          <w:bCs/>
          <w:sz w:val="26"/>
          <w:szCs w:val="26"/>
        </w:rPr>
      </w:pPr>
    </w:p>
    <w:p w14:paraId="317B44A9" w14:textId="4756ABB7" w:rsidR="006045C6" w:rsidRDefault="00000000">
      <w:pPr>
        <w:spacing w:before="240" w:after="100"/>
      </w:pPr>
      <w:r>
        <w:rPr>
          <w:b/>
          <w:bCs/>
          <w:sz w:val="26"/>
          <w:szCs w:val="26"/>
        </w:rPr>
        <w:lastRenderedPageBreak/>
        <w:t>4  회의 사진</w:t>
      </w:r>
    </w:p>
    <w:p w14:paraId="6105CCC7" w14:textId="50106A89" w:rsidR="006045C6" w:rsidRDefault="006A472D" w:rsidP="006A472D">
      <w:pPr>
        <w:spacing w:after="60" w:line="288" w:lineRule="auto"/>
        <w:jc w:val="both"/>
      </w:pPr>
      <w:r w:rsidRPr="00DB656F">
        <w:drawing>
          <wp:inline distT="0" distB="0" distL="0" distR="0" wp14:anchorId="20D3DED1" wp14:editId="7B17B19E">
            <wp:extent cx="5731510" cy="3710305"/>
            <wp:effectExtent l="0" t="0" r="0" b="0"/>
            <wp:docPr id="9387870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7048" name=""/>
                    <pic:cNvPicPr/>
                  </pic:nvPicPr>
                  <pic:blipFill>
                    <a:blip r:embed="rId5"/>
                    <a:stretch>
                      <a:fillRect/>
                    </a:stretch>
                  </pic:blipFill>
                  <pic:spPr>
                    <a:xfrm>
                      <a:off x="0" y="0"/>
                      <a:ext cx="5731510" cy="3710305"/>
                    </a:xfrm>
                    <a:prstGeom prst="rect">
                      <a:avLst/>
                    </a:prstGeom>
                  </pic:spPr>
                </pic:pic>
              </a:graphicData>
            </a:graphic>
          </wp:inline>
        </w:drawing>
      </w:r>
    </w:p>
    <w:sectPr w:rsidR="006045C6">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81073"/>
    <w:multiLevelType w:val="hybridMultilevel"/>
    <w:tmpl w:val="99D039C0"/>
    <w:lvl w:ilvl="0" w:tplc="D564ED1C">
      <w:start w:val="1"/>
      <w:numFmt w:val="bullet"/>
      <w:lvlText w:val="●"/>
      <w:lvlJc w:val="left"/>
      <w:pPr>
        <w:ind w:left="720" w:hanging="360"/>
      </w:pPr>
    </w:lvl>
    <w:lvl w:ilvl="1" w:tplc="E06C13C0">
      <w:start w:val="1"/>
      <w:numFmt w:val="bullet"/>
      <w:lvlText w:val="○"/>
      <w:lvlJc w:val="left"/>
      <w:pPr>
        <w:ind w:left="1440" w:hanging="360"/>
      </w:pPr>
    </w:lvl>
    <w:lvl w:ilvl="2" w:tplc="224AC372">
      <w:start w:val="1"/>
      <w:numFmt w:val="bullet"/>
      <w:lvlText w:val="■"/>
      <w:lvlJc w:val="left"/>
      <w:pPr>
        <w:ind w:left="2160" w:hanging="360"/>
      </w:pPr>
    </w:lvl>
    <w:lvl w:ilvl="3" w:tplc="8D301678">
      <w:start w:val="1"/>
      <w:numFmt w:val="bullet"/>
      <w:lvlText w:val="●"/>
      <w:lvlJc w:val="left"/>
      <w:pPr>
        <w:ind w:left="2880" w:hanging="360"/>
      </w:pPr>
    </w:lvl>
    <w:lvl w:ilvl="4" w:tplc="53BE11C8">
      <w:start w:val="1"/>
      <w:numFmt w:val="bullet"/>
      <w:lvlText w:val="○"/>
      <w:lvlJc w:val="left"/>
      <w:pPr>
        <w:ind w:left="3600" w:hanging="360"/>
      </w:pPr>
    </w:lvl>
    <w:lvl w:ilvl="5" w:tplc="844CBDB4">
      <w:start w:val="1"/>
      <w:numFmt w:val="bullet"/>
      <w:lvlText w:val="■"/>
      <w:lvlJc w:val="left"/>
      <w:pPr>
        <w:ind w:left="4320" w:hanging="360"/>
      </w:pPr>
    </w:lvl>
    <w:lvl w:ilvl="6" w:tplc="2C62F996">
      <w:start w:val="1"/>
      <w:numFmt w:val="bullet"/>
      <w:lvlText w:val="●"/>
      <w:lvlJc w:val="left"/>
      <w:pPr>
        <w:ind w:left="5040" w:hanging="360"/>
      </w:pPr>
    </w:lvl>
    <w:lvl w:ilvl="7" w:tplc="B29469D2">
      <w:start w:val="1"/>
      <w:numFmt w:val="bullet"/>
      <w:lvlText w:val="●"/>
      <w:lvlJc w:val="left"/>
      <w:pPr>
        <w:ind w:left="5760" w:hanging="360"/>
      </w:pPr>
    </w:lvl>
    <w:lvl w:ilvl="8" w:tplc="F872DB86">
      <w:start w:val="1"/>
      <w:numFmt w:val="bullet"/>
      <w:lvlText w:val="●"/>
      <w:lvlJc w:val="left"/>
      <w:pPr>
        <w:ind w:left="6480" w:hanging="360"/>
      </w:pPr>
    </w:lvl>
  </w:abstractNum>
  <w:num w:numId="1" w16cid:durableId="127489733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C6"/>
    <w:rsid w:val="00503444"/>
    <w:rsid w:val="00510E25"/>
    <w:rsid w:val="006045C6"/>
    <w:rsid w:val="006A4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7BAA906"/>
  <w15:docId w15:val="{6F12CFA7-BEAC-F348-AC18-CBD06C2E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김건우</cp:lastModifiedBy>
  <cp:revision>3</cp:revision>
  <dcterms:created xsi:type="dcterms:W3CDTF">2026-08-07T11:54:00Z</dcterms:created>
  <dcterms:modified xsi:type="dcterms:W3CDTF">2026-08-07T12:02:00Z</dcterms:modified>
</cp:coreProperties>
</file>