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20261031-update-rcs-cut-A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3168"/>
        <w:gridCol w:w="1728"/>
      </w:tblGrid>
      <w:tr>
        <w:trPr>
          <w:trHeight w:val="496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Linear model</w:t>
            </w:r>
          </w:p>
        </w:tc>
      </w:tr>
      <w:tr>
        <w:trPr>
          <w:trHeight w:val="496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1 fitting model by linear regression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 (0.049–0.056)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2 fitting model by two-piecewise linear 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≤ 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-0.031 (-0.042–-0.020)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&gt; 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 (0.071–0.079)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for F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Model 1 represents the standard single-slope model. Model 2 represents the two-piecewise model. The inflection point was estimated from the unadjusted linear model.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CI, confidence interval; β, regression coefficient.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2026-10-31T07:31:14Z</dcterms:modified>
  <cp:category/>
</cp:coreProperties>
</file>