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20261031-update-threshold-notes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3168"/>
        <w:gridCol w:w="1728"/>
      </w:tblGrid>
      <w:tr>
        <w:trPr>
          <w:trHeight w:val="496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Linear model</w:t>
            </w:r>
          </w:p>
        </w:tc>
      </w:tr>
      <w:tr>
        <w:trPr>
          <w:trHeight w:val="496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1 fitting model by linear regression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 (0.051–0.054)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2 fitting model by two-piecewise linear 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≤ 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 (0.025–0.028)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&gt; 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0.077 (0.075–0.078)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for F test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Model 1 represents the standard single-slope model. Model 2 represents the two-piecewise model. The inflection point was estimated from the unadjusted linear model.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CI, confidence interval; β, regression coefficient.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2026-10-31T07:31:05Z</dcterms:modified>
  <cp:category/>
</cp:coreProperties>
</file>