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20261031-update-rcs-cut-B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3168"/>
        <w:gridCol w:w="1728"/>
      </w:tblGrid>
      <w:tr>
        <w:trPr>
          <w:trHeight w:val="496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Unadjusted Linear model</w:t>
            </w:r>
          </w:p>
        </w:tc>
      </w:tr>
      <w:tr>
        <w:trPr>
          <w:trHeight w:val="496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 value</w:t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 1 fitting model by linear regression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0.053 (0.051–0.054)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&lt;0.001***</w:t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 2 fitting model by two-piecewise linear 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Inflection 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≤ inflection 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 (0.025–0.028)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&lt;0.001***</w:t>
            </w:r>
          </w:p>
        </w:tc>
      </w:tr>
      <w:tr>
        <w:trPr>
          <w:trHeight w:val="4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Dose &gt; inflection 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0.077 (0.075–0.078)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&lt;0.001***</w:t>
            </w:r>
          </w:p>
        </w:tc>
      </w:tr>
      <w:tr>
        <w:trPr>
          <w:trHeight w:val="496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 for F test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&lt;0.001***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Model 1 represents the standard single-slope model. Model 2 represents the two-piecewise model. The inflection point was estimated from the unadjusted linear model.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CI, confidence interval; β, regression coefficient.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*** p &lt; 0.001, ** p &lt; 0.01, * p &lt; 0.05.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2026-10-31T07:31:16Z</dcterms:modified>
  <cp:category/>
</cp:coreProperties>
</file>