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20261023-update-abs-cif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 Fine-Gray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Sex: Male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CIF at t=24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CIF at t=24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Tx: 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0.336 (0.228, 0.444)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0.326 (0.223, 0.428)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Tx: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 (0.184, 0.377)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0.391 (0.285, 0.498)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 of Tx within the strata of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-0.055 (-0.200, 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 (-0.082, 0.214)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1.440 (0.768, 2.698)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 (-0.086, 0.328)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 unadjusted Fine-Gray model.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 IC, interaction contrast (risk difference).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 *** p &lt; 0.001, ** p &lt; 0.01, * p &lt; 0.05.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Interpretation: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 all measures are derived from standardised cumulative incidence at the reported time point; RD and IC are risk differences, while the multiplicative term is dimensionless.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Competing-risk CIF at month 24.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2026-10-23T08:38:10Z</dcterms:modified>
  <cp:category/>
</cp:coreProperties>
</file>