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8"/>
          <w:szCs w:val="18"/>
          <w:color w:val="000000"/>
        </w:rPr>
        <w:t xml:space="preserve">20261023-update-abs-sur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 Cox model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Sex: Female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Sex: Male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Risk at t=24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Risk at t=24 (95% CI)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Tx: No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0.378 (0.259, 0.498)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0.360 (0.250, 0.471)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Tx: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0.297 (0.196, 0.398)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0.421 (0.308, 0.533)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 of Tx within the strata of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-0.081 (-0.237, 0.075)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 (-0.097, 0.218)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Multiplicative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1.487 (0.803, 2.754)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IC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0.142 (-0.080, 0.363)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8"/>
          <w:szCs w:val="18"/>
          <w:color w:val="000000"/>
        </w:rPr>
        <w:t xml:space="preserve">Note: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 unadjusted Cox model.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8"/>
          <w:szCs w:val="18"/>
          <w:color w:val="000000"/>
        </w:rPr>
        <w:t xml:space="preserve">Abbreviations: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 IC, interaction contrast (risk difference).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8"/>
          <w:szCs w:val="18"/>
          <w:color w:val="000000"/>
        </w:rPr>
        <w:t xml:space="preserve">Significance levels: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 *** p &lt; 0.001, ** p &lt; 0.01, * p &lt; 0.05.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8"/>
          <w:szCs w:val="18"/>
          <w:color w:val="000000"/>
        </w:rPr>
        <w:t xml:space="preserve">Interpretation: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 all measures are derived from standardised absolute risks at the reported time point; RD and IC are risk differences, while the multiplicative term is dimensionless.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One minus KM at month 24.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oyh</cp:lastModifiedBy>
  <cp:revision>9</cp:revision>
  <dcterms:created xsi:type="dcterms:W3CDTF">2017-02-28T11:18:00Z</dcterms:created>
  <dcterms:modified xsi:type="dcterms:W3CDTF">2026-10-23T08:38:08Z</dcterms:modified>
  <cp:category/>
</cp:coreProperties>
</file>