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20261031-update-absolute-A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Unadjusted Logistic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Logistic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Marker: High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Risk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0.250 (0.116, 0.384)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 (0.272, 0.578)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 (0.111, 0.375)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 (0.273, 0.577)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 (0.158, 0.442)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 (0.370, 0.680)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0.307 (0.163, 0.451)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0.526 (0.372, 0.681)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 of Tx within the strata of 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 (-0.145, 0.245)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0.100 (-0.118, 0.318)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 (-0.132, 0.261)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0.101 (-0.116, 0.318)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1.029 (0.438, 2.418)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 (0.416, 2.305)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 (-0.243, 0.343)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 (-0.255, 0.329)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multivariable Logistic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IC, interaction contrast (risk difference).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*** p &lt; 0.001, ** p &lt; 0.01, * p &lt; 0.05.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16"/>
          <w:szCs w:val="16"/>
          <w:color w:val="000000"/>
        </w:rPr>
        <w:t xml:space="preserve">Interpretation: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16"/>
          <w:szCs w:val="16"/>
          <w:color w:val="000000"/>
        </w:rPr>
        <w:t xml:space="preserve"> all measures are derived from standardised absolute risks at the reported time point; RD and IC are risk differences, while the multiplicative term is dimensionless.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2026-10-31T07:38:42Z</dcterms:modified>
  <cp:category/>
</cp:coreProperties>
</file>