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interaction-cif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Fine-Gray 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Fine-Gray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Age_group: &lt;55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Age_group: &gt;=55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Age_group within the strata of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Age_group: &lt;55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Age_group: &gt;=55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Age_group within the strata of Sex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 (1.35, 2.28)***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 (1.35, 2.28)***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 (0.74, 1.45)   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 (0.74, 1.45)  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2.44 (1.87, 3.19)***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3.65 (2.86, 4.66)***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1.50 (1.21, 1.85)***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2.44 (1.87, 3.19)***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2.13 (1.53, 2.96)***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 (0.63, 1.20)  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Sex within the strata of 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2.44 (1.87, 3.19)***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2.08 (1.69, 2.57)***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2.44 (1.87, 3.19)***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2.06 (1.67, 2.54)***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 (0.61, 1.20)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 (0.60, 1.18)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 (-0.24, 1.15)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 (-1.02, 0.32)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 (-0.06, 0.31)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 (-0.49, 0.16)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 (0.89, 1.65)  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 (0.46, 1.26)  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multivariable Fine-Gray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RERI, relative excess risk due to interaction; AP, attributable proportion due to interaction; SI, synergy index.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*** p &lt; 0.001, ** p &lt; 0.01, * p &lt; 0.05.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Fine-Gray sHR; other-cause deaths compete.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2026-10-19T07:04:29Z</dcterms:modified>
  <cp:category/>
</cp:coreProperties>
</file>