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92000" cy="2202256"/>
            <wp:docPr id="1" name="Picture 1"/>
            <wp:cNvGraphicFramePr>
              <a:graphicFrameLocks noChangeAspect="1"/>
            </wp:cNvGraphicFramePr>
            <a:graphic>
              <a:graphicData uri="http://schemas.openxmlformats.org/drawingml/2006/picture">
                <pic:pic>
                  <pic:nvPicPr>
                    <pic:cNvPr id="0" name="VPL_LIGHT.png"/>
                    <pic:cNvPicPr/>
                  </pic:nvPicPr>
                  <pic:blipFill>
                    <a:blip r:embed="rId10"/>
                    <a:stretch>
                      <a:fillRect/>
                    </a:stretch>
                  </pic:blipFill>
                  <pic:spPr>
                    <a:xfrm>
                      <a:off x="0" y="0"/>
                      <a:ext cx="792000" cy="2202256"/>
                    </a:xfrm>
                    <a:prstGeom prst="rect"/>
                  </pic:spPr>
                </pic:pic>
              </a:graphicData>
            </a:graphic>
          </wp:inline>
        </w:drawing>
      </w:r>
    </w:p>
    <w:p>
      <w:pPr>
        <w:spacing w:after="40"/>
      </w:pPr>
      <w:r>
        <w:rPr>
          <w:rFonts w:ascii="Consolas" w:hAnsi="Consolas"/>
          <w:b/>
          <w:color w:val="B5562A"/>
          <w:sz w:val="16"/>
        </w:rPr>
        <w:t>HUIX-2099 · MONROVIA, LIBERIA · L-231</w:t>
      </w:r>
    </w:p>
    <w:p>
      <w:r>
        <w:rPr>
          <w:i w:val="0"/>
          <w:color w:val="666666"/>
        </w:rPr>
        <w:t>[Date]</w:t>
      </w:r>
    </w:p>
    <w:p>
      <w:r>
        <w:rPr>
          <w:i w:val="0"/>
        </w:rPr>
        <w:t>The Executive Director</w:t>
        <w:br/>
        <w:t>Heritage Liberia</w:t>
        <w:br/>
        <w:t>89 Sekou Toure Avenue</w:t>
        <w:br/>
        <w:t>1000 Monrovia 10, Liberia</w:t>
        <w:br/>
        <w:t>info@heritageliberia.org</w:t>
      </w:r>
    </w:p>
    <w:p>
      <w:r>
        <w:rPr>
          <w:b/>
        </w:rPr>
        <w:t xml:space="preserve">Subject: </w:t>
      </w:r>
      <w:r>
        <w:rPr>
          <w:b w:val="0"/>
        </w:rPr>
        <w:t>Proposed partnership — Virtual Past Liberia × Heritage Liberia</w:t>
      </w:r>
    </w:p>
    <w:p>
      <w:r>
        <w:rPr>
          <w:i w:val="0"/>
        </w:rPr>
        <w:t>Dear Executive Director,</w:t>
      </w:r>
    </w:p>
    <w:p>
      <w:r>
        <w:rPr>
          <w:i w:val="0"/>
        </w:rPr>
        <w:t>HUIX-2099 is a Monrovia-based technology studio building VR, games, 3D, and AI experiences. We are developing Virtual Past Liberia (VPL): a programme that rebuilds Liberia's historical artifacts, sites, and stories as virtual reality tours, history games, time-travel simulations, and AI guides — for tourists, students, citizens, and the diaspora.</w:t>
      </w:r>
    </w:p>
    <w:p>
      <w:r>
        <w:rPr>
          <w:i w:val="0"/>
        </w:rPr>
        <w:t>Heritage Liberia's mission — to sustain Liberia's heritage through education, tourism, and the preservation of historic, natural, and cultural resources, artifacts, and shrines — is exactly the foundation VPL needs. We bring the technology; you bring the knowledge, the networks, and the trust of the communities who own these stories.</w:t>
      </w:r>
    </w:p>
    <w:p>
      <w:r>
        <w:rPr>
          <w:i w:val="0"/>
        </w:rPr>
        <w:t>We attach a draft Memorandum of Understanding for discussion. It proposes a phased, long-term partnership beginning with a single pilot site, and sets out clearly what each organisation contributes and gains. Every figure and term in the draft is open for discussion.</w:t>
      </w:r>
    </w:p>
    <w:p>
      <w:r>
        <w:rPr>
          <w:i w:val="0"/>
        </w:rPr>
        <w:t>We would welcome a short meeting to present a demo and agree next steps.</w:t>
      </w:r>
    </w:p>
    <w:p>
      <w:r>
        <w:rPr>
          <w:i w:val="0"/>
        </w:rPr>
        <w:t>Yours sincerely,</w:t>
      </w:r>
    </w:p>
    <w:p>
      <w:r>
        <w:rPr>
          <w:i w:val="0"/>
        </w:rPr>
        <w:br/>
        <w:br/>
        <w:t>______________________________</w:t>
        <w:br/>
        <w:t>Victor Edet Coleman</w:t>
        <w:br/>
        <w:t>Founder, HUIX-2099</w:t>
        <w:br/>
        <w:t>huixtech2099@gmail.com · +231 776 800 064</w:t>
      </w:r>
    </w:p>
    <w:p>
      <w:r>
        <w:br w:type="page"/>
      </w:r>
    </w:p>
    <w:p>
      <w:r>
        <w:drawing>
          <wp:inline xmlns:a="http://schemas.openxmlformats.org/drawingml/2006/main" xmlns:pic="http://schemas.openxmlformats.org/drawingml/2006/picture">
            <wp:extent cx="648000" cy="1801846"/>
            <wp:docPr id="2" name="Picture 2"/>
            <wp:cNvGraphicFramePr>
              <a:graphicFrameLocks noChangeAspect="1"/>
            </wp:cNvGraphicFramePr>
            <a:graphic>
              <a:graphicData uri="http://schemas.openxmlformats.org/drawingml/2006/picture">
                <pic:pic>
                  <pic:nvPicPr>
                    <pic:cNvPr id="0" name="VPL_LIGHT.png"/>
                    <pic:cNvPicPr/>
                  </pic:nvPicPr>
                  <pic:blipFill>
                    <a:blip r:embed="rId10"/>
                    <a:stretch>
                      <a:fillRect/>
                    </a:stretch>
                  </pic:blipFill>
                  <pic:spPr>
                    <a:xfrm>
                      <a:off x="0" y="0"/>
                      <a:ext cx="648000" cy="1801846"/>
                    </a:xfrm>
                    <a:prstGeom prst="rect"/>
                  </pic:spPr>
                </pic:pic>
              </a:graphicData>
            </a:graphic>
          </wp:inline>
        </w:drawing>
      </w:r>
    </w:p>
    <w:p>
      <w:pPr>
        <w:spacing w:after="40"/>
      </w:pPr>
      <w:r>
        <w:rPr>
          <w:rFonts w:ascii="Consolas" w:hAnsi="Consolas"/>
          <w:b/>
          <w:color w:val="B5562A"/>
          <w:sz w:val="16"/>
        </w:rPr>
        <w:t>DRAFT · VERSION 0.1 · FOR DISCUSSION</w:t>
      </w:r>
    </w:p>
    <w:p>
      <w:pPr>
        <w:spacing w:after="80"/>
      </w:pPr>
      <w:r>
        <w:rPr>
          <w:b/>
          <w:color w:val="1A1A1A"/>
          <w:sz w:val="40"/>
        </w:rPr>
        <w:t>Memorandum of Understanding</w:t>
      </w:r>
    </w:p>
    <w:p>
      <w:r>
        <w:rPr>
          <w:i w:val="0"/>
          <w:color w:val="B5562A"/>
          <w:sz w:val="26"/>
        </w:rPr>
        <w:t>Virtual Past Liberia — Digital Heritage Partnership</w:t>
      </w:r>
    </w:p>
    <w:p>
      <w:pPr>
        <w:pBdr>
          <w:bottom w:val="single" w:sz="8" w:space="1" w:color="B5562A"/>
        </w:pBdr>
        <w:spacing w:after="160"/>
      </w:pP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color="auto" w:fill="B5562A"/>
          </w:tcPr>
          <w:p>
            <w:r/>
            <w:r>
              <w:rPr>
                <w:b/>
                <w:color w:val="FFFFFF"/>
                <w:sz w:val="19"/>
              </w:rPr>
            </w:r>
          </w:p>
        </w:tc>
        <w:tc>
          <w:tcPr>
            <w:tcW w:type="dxa" w:w="3742"/>
            <w:shd w:val="clear" w:color="auto" w:fill="B5562A"/>
          </w:tcPr>
          <w:p>
            <w:r/>
            <w:r>
              <w:rPr>
                <w:b/>
                <w:color w:val="FFFFFF"/>
                <w:sz w:val="19"/>
              </w:rPr>
              <w:t>Party A</w:t>
            </w:r>
          </w:p>
        </w:tc>
        <w:tc>
          <w:tcPr>
            <w:tcW w:type="dxa" w:w="3742"/>
            <w:shd w:val="clear" w:color="auto" w:fill="B5562A"/>
          </w:tcPr>
          <w:p>
            <w:r/>
            <w:r>
              <w:rPr>
                <w:b/>
                <w:color w:val="FFFFFF"/>
                <w:sz w:val="19"/>
              </w:rPr>
              <w:t>Party B</w:t>
            </w:r>
          </w:p>
        </w:tc>
      </w:tr>
      <w:tr>
        <w:tc>
          <w:tcPr>
            <w:tcW w:type="dxa" w:w="1814"/>
          </w:tcPr>
          <w:p>
            <w:r/>
            <w:r>
              <w:rPr>
                <w:sz w:val="19"/>
              </w:rPr>
              <w:t>Name</w:t>
            </w:r>
          </w:p>
        </w:tc>
        <w:tc>
          <w:tcPr>
            <w:tcW w:type="dxa" w:w="3742"/>
          </w:tcPr>
          <w:p>
            <w:r/>
            <w:r>
              <w:rPr>
                <w:sz w:val="19"/>
              </w:rPr>
              <w:t>HUIX-2099 ("HUIX")</w:t>
            </w:r>
          </w:p>
        </w:tc>
        <w:tc>
          <w:tcPr>
            <w:tcW w:type="dxa" w:w="3742"/>
          </w:tcPr>
          <w:p>
            <w:r/>
            <w:r>
              <w:rPr>
                <w:sz w:val="19"/>
              </w:rPr>
              <w:t>Heritage Liberia ("HL")</w:t>
            </w:r>
          </w:p>
        </w:tc>
      </w:tr>
      <w:tr>
        <w:tc>
          <w:tcPr>
            <w:tcW w:type="dxa" w:w="1814"/>
            <w:shd w:val="clear" w:color="auto" w:fill="FAF5F1"/>
          </w:tcPr>
          <w:p>
            <w:r/>
            <w:r>
              <w:rPr>
                <w:sz w:val="19"/>
              </w:rPr>
              <w:t>Type</w:t>
            </w:r>
          </w:p>
        </w:tc>
        <w:tc>
          <w:tcPr>
            <w:tcW w:type="dxa" w:w="3742"/>
            <w:shd w:val="clear" w:color="auto" w:fill="FAF5F1"/>
          </w:tcPr>
          <w:p>
            <w:r/>
            <w:r>
              <w:rPr>
                <w:sz w:val="19"/>
              </w:rPr>
              <w:t>Technology studio, Monrovia</w:t>
            </w:r>
          </w:p>
        </w:tc>
        <w:tc>
          <w:tcPr>
            <w:tcW w:type="dxa" w:w="3742"/>
            <w:shd w:val="clear" w:color="auto" w:fill="FAF5F1"/>
          </w:tcPr>
          <w:p>
            <w:r/>
            <w:r>
              <w:rPr>
                <w:sz w:val="19"/>
              </w:rPr>
              <w:t>Not-for-profit organisation, Republic of Liberia</w:t>
            </w:r>
          </w:p>
        </w:tc>
      </w:tr>
      <w:tr>
        <w:tc>
          <w:tcPr>
            <w:tcW w:type="dxa" w:w="1814"/>
          </w:tcPr>
          <w:p>
            <w:r/>
            <w:r>
              <w:rPr>
                <w:sz w:val="19"/>
              </w:rPr>
              <w:t>Address</w:t>
            </w:r>
          </w:p>
        </w:tc>
        <w:tc>
          <w:tcPr>
            <w:tcW w:type="dxa" w:w="3742"/>
          </w:tcPr>
          <w:p>
            <w:r/>
            <w:r>
              <w:rPr>
                <w:sz w:val="19"/>
              </w:rPr>
              <w:t>[Registered address], Monrovia, Liberia</w:t>
            </w:r>
          </w:p>
        </w:tc>
        <w:tc>
          <w:tcPr>
            <w:tcW w:type="dxa" w:w="3742"/>
          </w:tcPr>
          <w:p>
            <w:r/>
            <w:r>
              <w:rPr>
                <w:sz w:val="19"/>
              </w:rPr>
              <w:t>89 Sekou Toure Avenue, 1000 Monrovia 10, Liberia</w:t>
            </w:r>
          </w:p>
        </w:tc>
      </w:tr>
      <w:tr>
        <w:tc>
          <w:tcPr>
            <w:tcW w:type="dxa" w:w="1814"/>
            <w:shd w:val="clear" w:color="auto" w:fill="FAF5F1"/>
          </w:tcPr>
          <w:p>
            <w:r/>
            <w:r>
              <w:rPr>
                <w:sz w:val="19"/>
              </w:rPr>
              <w:t>Contact</w:t>
            </w:r>
          </w:p>
        </w:tc>
        <w:tc>
          <w:tcPr>
            <w:tcW w:type="dxa" w:w="3742"/>
            <w:shd w:val="clear" w:color="auto" w:fill="FAF5F1"/>
          </w:tcPr>
          <w:p>
            <w:r/>
            <w:r>
              <w:rPr>
                <w:sz w:val="19"/>
              </w:rPr>
              <w:t>huixtech2099@gmail.com · +231 776 800 064</w:t>
            </w:r>
          </w:p>
        </w:tc>
        <w:tc>
          <w:tcPr>
            <w:tcW w:type="dxa" w:w="3742"/>
            <w:shd w:val="clear" w:color="auto" w:fill="FAF5F1"/>
          </w:tcPr>
          <w:p>
            <w:r/>
            <w:r>
              <w:rPr>
                <w:sz w:val="19"/>
              </w:rPr>
              <w:t>info@heritageliberia.org · +231 760 515 730</w:t>
            </w:r>
          </w:p>
        </w:tc>
      </w:tr>
      <w:tr>
        <w:tc>
          <w:tcPr>
            <w:tcW w:type="dxa" w:w="1814"/>
          </w:tcPr>
          <w:p>
            <w:r/>
            <w:r>
              <w:rPr>
                <w:sz w:val="19"/>
              </w:rPr>
              <w:t>Represented by</w:t>
            </w:r>
          </w:p>
        </w:tc>
        <w:tc>
          <w:tcPr>
            <w:tcW w:type="dxa" w:w="3742"/>
          </w:tcPr>
          <w:p>
            <w:r/>
            <w:r>
              <w:rPr>
                <w:sz w:val="19"/>
              </w:rPr>
              <w:t>Victor Edet Coleman, Founder</w:t>
            </w:r>
          </w:p>
        </w:tc>
        <w:tc>
          <w:tcPr>
            <w:tcW w:type="dxa" w:w="3742"/>
          </w:tcPr>
          <w:p>
            <w:r/>
            <w:r>
              <w:rPr>
                <w:sz w:val="19"/>
              </w:rPr>
              <w:t>[Name], [Title]</w:t>
            </w:r>
          </w:p>
        </w:tc>
      </w:tr>
    </w:tbl>
    <w:p>
      <w:pPr>
        <w:spacing w:after="40"/>
      </w:pPr>
    </w:p>
    <w:p>
      <w:pPr>
        <w:keepNext/>
        <w:spacing w:before="240"/>
      </w:pPr>
      <w:r>
        <w:rPr>
          <w:b/>
          <w:color w:val="B5562A"/>
          <w:sz w:val="26"/>
        </w:rPr>
        <w:t>1. Background</w:t>
      </w:r>
    </w:p>
    <w:p>
      <w:r>
        <w:rPr>
          <w:i w:val="0"/>
        </w:rPr>
        <w:t>Much of Liberia's history — written and lived — is scattered, damaged, or unrecorded. Artifacts are fragile, sites change or disappear, and elders who hold oral histories are ageing. At the same time, VR headsets, 3D capture, and AI now make it possible to preserve this heritage digitally and share it with people who may never be able to visit in person.</w:t>
      </w:r>
    </w:p>
    <w:p>
      <w:r>
        <w:rPr>
          <w:i w:val="0"/>
        </w:rPr>
        <w:t>HL works to preserve and promote Liberia's heritage through education, tourism, and conservation. HUIX builds immersive technology. The Parties share the goal of preserving Liberia's heritage and making it accessible, accurate, and owned by Liberians.</w:t>
      </w:r>
    </w:p>
    <w:p>
      <w:pPr>
        <w:keepNext/>
        <w:spacing w:before="240"/>
      </w:pPr>
      <w:r>
        <w:rPr>
          <w:b/>
          <w:color w:val="B5562A"/>
          <w:sz w:val="26"/>
        </w:rPr>
        <w:t>2. Purpose</w:t>
      </w:r>
    </w:p>
    <w:p>
      <w:r>
        <w:rPr>
          <w:i w:val="0"/>
        </w:rPr>
        <w:t>This MOU sets out the framework under which the Parties intend to collaborate to:</w:t>
      </w:r>
    </w:p>
    <w:p>
      <w:pPr>
        <w:pStyle w:val="ListNumber"/>
        <w:spacing w:after="60"/>
      </w:pPr>
      <w:r>
        <w:t>Digitally preserve Liberian artifacts, heritage sites, and oral histories.</w:t>
      </w:r>
    </w:p>
    <w:p>
      <w:pPr>
        <w:pStyle w:val="ListNumber"/>
        <w:spacing w:after="60"/>
      </w:pPr>
      <w:r>
        <w:t>Create VR tours, history games, historical simulations, virtual artifacts, and AI guides from that material.</w:t>
      </w:r>
    </w:p>
    <w:p>
      <w:pPr>
        <w:pStyle w:val="ListNumber"/>
        <w:spacing w:after="60"/>
      </w:pPr>
      <w:r>
        <w:t>Use these experiences for heritage tourism, education, and diaspora engagement.</w:t>
      </w:r>
    </w:p>
    <w:p>
      <w:pPr>
        <w:pStyle w:val="ListNumber"/>
        <w:spacing w:after="60"/>
      </w:pPr>
      <w:r>
        <w:t>Build local skills and jobs in digital heritage, 3D, XR, and AI.</w:t>
      </w:r>
    </w:p>
    <w:p>
      <w:pPr>
        <w:pStyle w:val="ListNumber"/>
        <w:spacing w:after="60"/>
      </w:pPr>
      <w:r>
        <w:t>Jointly raise funds and equipment to grow the programme over the long term.</w:t>
      </w:r>
    </w:p>
    <w:p>
      <w:pPr>
        <w:keepNext/>
        <w:spacing w:before="240"/>
      </w:pPr>
      <w:r>
        <w:rPr>
          <w:b/>
          <w:color w:val="B5562A"/>
          <w:sz w:val="26"/>
        </w:rPr>
        <w:t>3. Scope of Collaboration</w:t>
      </w:r>
    </w:p>
    <w:tbl>
      <w:tblPr>
        <w:tblStyle w:val="TableGrid"/>
        <w:tblW w:type="auto" w:w="0"/>
        <w:jc w:val="center"/>
        <w:tblLook w:firstColumn="1" w:firstRow="1" w:lastColumn="0" w:lastRow="0" w:noHBand="0" w:noVBand="1" w:val="04A0"/>
      </w:tblPr>
      <w:tblGrid>
        <w:gridCol w:w="4759"/>
        <w:gridCol w:w="4759"/>
      </w:tblGrid>
      <w:tr>
        <w:tc>
          <w:tcPr>
            <w:tcW w:type="dxa" w:w="2381"/>
            <w:shd w:val="clear" w:color="auto" w:fill="B5562A"/>
          </w:tcPr>
          <w:p>
            <w:r/>
            <w:r>
              <w:rPr>
                <w:b/>
                <w:color w:val="FFFFFF"/>
                <w:sz w:val="19"/>
              </w:rPr>
              <w:t>Area</w:t>
            </w:r>
          </w:p>
        </w:tc>
        <w:tc>
          <w:tcPr>
            <w:tcW w:type="dxa" w:w="6917"/>
            <w:shd w:val="clear" w:color="auto" w:fill="B5562A"/>
          </w:tcPr>
          <w:p>
            <w:r/>
            <w:r>
              <w:rPr>
                <w:b/>
                <w:color w:val="FFFFFF"/>
                <w:sz w:val="19"/>
              </w:rPr>
              <w:t>What it covers</w:t>
            </w:r>
          </w:p>
        </w:tc>
      </w:tr>
      <w:tr>
        <w:tc>
          <w:tcPr>
            <w:tcW w:type="dxa" w:w="2381"/>
          </w:tcPr>
          <w:p>
            <w:r/>
            <w:r>
              <w:rPr>
                <w:sz w:val="19"/>
              </w:rPr>
              <w:t>Content &amp; access</w:t>
            </w:r>
          </w:p>
        </w:tc>
        <w:tc>
          <w:tcPr>
            <w:tcW w:type="dxa" w:w="6917"/>
          </w:tcPr>
          <w:p>
            <w:r/>
            <w:r>
              <w:rPr>
                <w:sz w:val="19"/>
              </w:rPr>
              <w:t>Access to heritage sites, collections, and artifacts (including museum collections such as the National Museum of Liberia where HL can facilitate it), archives, and photographs.</w:t>
            </w:r>
          </w:p>
        </w:tc>
      </w:tr>
      <w:tr>
        <w:tc>
          <w:tcPr>
            <w:tcW w:type="dxa" w:w="2381"/>
            <w:shd w:val="clear" w:color="auto" w:fill="FAF5F1"/>
          </w:tcPr>
          <w:p>
            <w:r/>
            <w:r>
              <w:rPr>
                <w:sz w:val="19"/>
              </w:rPr>
              <w:t>Community &amp; oral history</w:t>
            </w:r>
          </w:p>
        </w:tc>
        <w:tc>
          <w:tcPr>
            <w:tcW w:type="dxa" w:w="6917"/>
            <w:shd w:val="clear" w:color="auto" w:fill="FAF5F1"/>
          </w:tcPr>
          <w:p>
            <w:r/>
            <w:r>
              <w:rPr>
                <w:sz w:val="19"/>
              </w:rPr>
              <w:t>Introductions to elders, chiefs, and cultural custodians; consent-based recording of stories and languages.</w:t>
            </w:r>
          </w:p>
        </w:tc>
      </w:tr>
      <w:tr>
        <w:tc>
          <w:tcPr>
            <w:tcW w:type="dxa" w:w="2381"/>
          </w:tcPr>
          <w:p>
            <w:r/>
            <w:r>
              <w:rPr>
                <w:sz w:val="19"/>
              </w:rPr>
              <w:t>Historical accuracy</w:t>
            </w:r>
          </w:p>
        </w:tc>
        <w:tc>
          <w:tcPr>
            <w:tcW w:type="dxa" w:w="6917"/>
          </w:tcPr>
          <w:p>
            <w:r/>
            <w:r>
              <w:rPr>
                <w:sz w:val="19"/>
              </w:rPr>
              <w:t>Review and approval of every scene, game, and AI answer by HL's expert network before public release.</w:t>
            </w:r>
          </w:p>
        </w:tc>
      </w:tr>
      <w:tr>
        <w:tc>
          <w:tcPr>
            <w:tcW w:type="dxa" w:w="2381"/>
            <w:shd w:val="clear" w:color="auto" w:fill="FAF5F1"/>
          </w:tcPr>
          <w:p>
            <w:r/>
            <w:r>
              <w:rPr>
                <w:sz w:val="19"/>
              </w:rPr>
              <w:t>Technology &amp; production</w:t>
            </w:r>
          </w:p>
        </w:tc>
        <w:tc>
          <w:tcPr>
            <w:tcW w:type="dxa" w:w="6917"/>
            <w:shd w:val="clear" w:color="auto" w:fill="FAF5F1"/>
          </w:tcPr>
          <w:p>
            <w:r/>
            <w:r>
              <w:rPr>
                <w:sz w:val="19"/>
              </w:rPr>
              <w:t>3D scanning, modelling, VR/AR experiences, games, web and mobile apps, AI guides.</w:t>
            </w:r>
          </w:p>
        </w:tc>
      </w:tr>
      <w:tr>
        <w:tc>
          <w:tcPr>
            <w:tcW w:type="dxa" w:w="2381"/>
          </w:tcPr>
          <w:p>
            <w:r/>
            <w:r>
              <w:rPr>
                <w:sz w:val="19"/>
              </w:rPr>
              <w:t>Tourism &amp; education</w:t>
            </w:r>
          </w:p>
        </w:tc>
        <w:tc>
          <w:tcPr>
            <w:tcW w:type="dxa" w:w="6917"/>
          </w:tcPr>
          <w:p>
            <w:r/>
            <w:r>
              <w:rPr>
                <w:sz w:val="19"/>
              </w:rPr>
              <w:t>VR kiosks and AR at sites, inclusion in tours and Homecoming events, school programmes.</w:t>
            </w:r>
          </w:p>
        </w:tc>
      </w:tr>
      <w:tr>
        <w:tc>
          <w:tcPr>
            <w:tcW w:type="dxa" w:w="2381"/>
            <w:shd w:val="clear" w:color="auto" w:fill="FAF5F1"/>
          </w:tcPr>
          <w:p>
            <w:r/>
            <w:r>
              <w:rPr>
                <w:sz w:val="19"/>
              </w:rPr>
              <w:t>Funding &amp; equipment</w:t>
            </w:r>
          </w:p>
        </w:tc>
        <w:tc>
          <w:tcPr>
            <w:tcW w:type="dxa" w:w="6917"/>
            <w:shd w:val="clear" w:color="auto" w:fill="FAF5F1"/>
          </w:tcPr>
          <w:p>
            <w:r/>
            <w:r>
              <w:rPr>
                <w:sz w:val="19"/>
              </w:rPr>
              <w:t>Joint grant applications, sponsorship, and equipment support (headsets, scanners, computers, AI compute).</w:t>
            </w:r>
          </w:p>
        </w:tc>
      </w:tr>
      <w:tr>
        <w:tc>
          <w:tcPr>
            <w:tcW w:type="dxa" w:w="2381"/>
          </w:tcPr>
          <w:p>
            <w:r/>
            <w:r>
              <w:rPr>
                <w:sz w:val="19"/>
              </w:rPr>
              <w:t>Capacity building</w:t>
            </w:r>
          </w:p>
        </w:tc>
        <w:tc>
          <w:tcPr>
            <w:tcW w:type="dxa" w:w="6917"/>
          </w:tcPr>
          <w:p>
            <w:r/>
            <w:r>
              <w:rPr>
                <w:sz w:val="19"/>
              </w:rPr>
              <w:t>Training and internships for youth and women in 3D capture, XR, and AI.</w:t>
            </w:r>
          </w:p>
        </w:tc>
      </w:tr>
    </w:tbl>
    <w:p>
      <w:pPr>
        <w:spacing w:after="40"/>
      </w:pPr>
    </w:p>
    <w:p>
      <w:pPr>
        <w:keepNext/>
        <w:spacing w:before="240"/>
      </w:pPr>
      <w:r>
        <w:rPr>
          <w:b/>
          <w:color w:val="B5562A"/>
          <w:sz w:val="26"/>
        </w:rPr>
        <w:t>4. Responsibilities of HUIX-2099</w:t>
      </w:r>
    </w:p>
    <w:p>
      <w:pPr>
        <w:pStyle w:val="ListBullet"/>
        <w:spacing w:after="60"/>
      </w:pPr>
      <w:r>
        <w:t>Lead design, development, and maintenance of all VPL digital experiences.</w:t>
      </w:r>
    </w:p>
    <w:p>
      <w:pPr>
        <w:pStyle w:val="ListBullet"/>
        <w:spacing w:after="60"/>
      </w:pPr>
      <w:r>
        <w:t>Provide 3D capture, modelling, VR/AR, game, web, and AI expertise.</w:t>
      </w:r>
    </w:p>
    <w:p>
      <w:pPr>
        <w:pStyle w:val="ListBullet"/>
        <w:spacing w:after="60"/>
      </w:pPr>
      <w:r>
        <w:t>Deliver an agreed pilot experience (Annex C) within the pilot timeline.</w:t>
      </w:r>
    </w:p>
    <w:p>
      <w:pPr>
        <w:pStyle w:val="ListBullet"/>
        <w:spacing w:after="60"/>
      </w:pPr>
      <w:r>
        <w:t>Give HL free, perpetual use of the digital assets created from HL-facilitated content for its own tours, exhibitions, website, and education work.</w:t>
      </w:r>
    </w:p>
    <w:p>
      <w:pPr>
        <w:pStyle w:val="ListBullet"/>
        <w:spacing w:after="60"/>
      </w:pPr>
      <w:r>
        <w:t>Credit HL on every experience, publication, and promotion that uses HL-facilitated content.</w:t>
      </w:r>
    </w:p>
    <w:p>
      <w:pPr>
        <w:pStyle w:val="ListBullet"/>
        <w:spacing w:after="60"/>
      </w:pPr>
      <w:r>
        <w:t>Train HL staff and nominated youth in basic photo capture, scanning, and headset operation.</w:t>
      </w:r>
    </w:p>
    <w:p>
      <w:pPr>
        <w:pStyle w:val="ListBullet"/>
        <w:spacing w:after="60"/>
      </w:pPr>
      <w:r>
        <w:t>Handle artifacts and sites with care, following HL and custodian rules at all times.</w:t>
      </w:r>
    </w:p>
    <w:p>
      <w:pPr>
        <w:pStyle w:val="ListBullet"/>
        <w:spacing w:after="60"/>
      </w:pPr>
      <w:r>
        <w:t>Provide HL with progress reports at least every quarter.</w:t>
      </w:r>
    </w:p>
    <w:p>
      <w:pPr>
        <w:keepNext/>
        <w:spacing w:before="240"/>
      </w:pPr>
      <w:r>
        <w:rPr>
          <w:b/>
          <w:color w:val="B5562A"/>
          <w:sz w:val="26"/>
        </w:rPr>
        <w:t>5. Responsibilities of Heritage Liberia</w:t>
      </w:r>
    </w:p>
    <w:p>
      <w:pPr>
        <w:pStyle w:val="ListBullet"/>
        <w:spacing w:after="60"/>
      </w:pPr>
      <w:r>
        <w:t>Facilitate access to heritage sites, shrines, collections, archives, and museum partners, subject to custodians' approval.</w:t>
      </w:r>
    </w:p>
    <w:p>
      <w:pPr>
        <w:pStyle w:val="ListBullet"/>
        <w:spacing w:after="60"/>
      </w:pPr>
      <w:r>
        <w:t>Introduce HUIX to elders, custodians, historians, and community leaders, and help secure informed consent.</w:t>
      </w:r>
    </w:p>
    <w:p>
      <w:pPr>
        <w:pStyle w:val="ListBullet"/>
        <w:spacing w:after="60"/>
      </w:pPr>
      <w:r>
        <w:t>Review content for historical and cultural accuracy through its expert network.</w:t>
      </w:r>
    </w:p>
    <w:p>
      <w:pPr>
        <w:pStyle w:val="ListBullet"/>
        <w:spacing w:after="60"/>
      </w:pPr>
      <w:r>
        <w:t>Co-brand and promote VPL through its website, social media, events, tours, and Homecoming programmes.</w:t>
      </w:r>
    </w:p>
    <w:p>
      <w:pPr>
        <w:pStyle w:val="ListBullet"/>
        <w:spacing w:after="60"/>
      </w:pPr>
      <w:r>
        <w:t>Support public awareness campaigns and media coverage for VPL.</w:t>
      </w:r>
    </w:p>
    <w:p>
      <w:pPr>
        <w:pStyle w:val="ListBullet"/>
        <w:spacing w:after="60"/>
      </w:pPr>
      <w:r>
        <w:t>Provide a letter of support for VPL funding applications and co-apply for grants where appropriate.</w:t>
      </w:r>
    </w:p>
    <w:p>
      <w:pPr>
        <w:pStyle w:val="ListBullet"/>
        <w:spacing w:after="60"/>
      </w:pPr>
      <w:r>
        <w:t>Where possible, contribute or help source funding and equipment as set out in Annex A.</w:t>
      </w:r>
    </w:p>
    <w:p>
      <w:pPr>
        <w:pStyle w:val="ListBullet"/>
        <w:spacing w:after="60"/>
      </w:pPr>
      <w:r>
        <w:t>Help place VPL kiosks and AR experiences at heritage and tourism locations.</w:t>
      </w:r>
    </w:p>
    <w:p>
      <w:pPr>
        <w:keepNext/>
        <w:spacing w:before="240"/>
      </w:pPr>
      <w:r>
        <w:rPr>
          <w:b/>
          <w:color w:val="B5562A"/>
          <w:sz w:val="26"/>
        </w:rPr>
        <w:t>6. Mutual Benefits</w:t>
      </w:r>
    </w:p>
    <w:tbl>
      <w:tblPr>
        <w:tblStyle w:val="TableGrid"/>
        <w:tblW w:type="auto" w:w="0"/>
        <w:jc w:val="center"/>
        <w:tblLook w:firstColumn="1" w:firstRow="1" w:lastColumn="0" w:lastRow="0" w:noHBand="0" w:noVBand="1" w:val="04A0"/>
      </w:tblPr>
      <w:tblGrid>
        <w:gridCol w:w="4759"/>
        <w:gridCol w:w="4759"/>
      </w:tblGrid>
      <w:tr>
        <w:tc>
          <w:tcPr>
            <w:tcW w:type="dxa" w:w="4649"/>
            <w:shd w:val="clear" w:color="auto" w:fill="B5562A"/>
          </w:tcPr>
          <w:p>
            <w:r/>
            <w:r>
              <w:rPr>
                <w:b/>
                <w:color w:val="FFFFFF"/>
                <w:sz w:val="19"/>
              </w:rPr>
              <w:t>Heritage Liberia gains</w:t>
            </w:r>
          </w:p>
        </w:tc>
        <w:tc>
          <w:tcPr>
            <w:tcW w:type="dxa" w:w="4649"/>
            <w:shd w:val="clear" w:color="auto" w:fill="B5562A"/>
          </w:tcPr>
          <w:p>
            <w:r/>
            <w:r>
              <w:rPr>
                <w:b/>
                <w:color w:val="FFFFFF"/>
                <w:sz w:val="19"/>
              </w:rPr>
              <w:t>HUIX-2099 gains</w:t>
            </w:r>
          </w:p>
        </w:tc>
      </w:tr>
      <w:tr>
        <w:tc>
          <w:tcPr>
            <w:tcW w:type="dxa" w:w="4649"/>
          </w:tcPr>
          <w:p>
            <w:r/>
            <w:r>
              <w:rPr>
                <w:sz w:val="19"/>
              </w:rPr>
              <w:t>A permanent digital archive of sites and artifacts — protected even if originals are lost or damaged</w:t>
            </w:r>
          </w:p>
        </w:tc>
        <w:tc>
          <w:tcPr>
            <w:tcW w:type="dxa" w:w="4649"/>
          </w:tcPr>
          <w:p>
            <w:r/>
            <w:r>
              <w:rPr>
                <w:sz w:val="19"/>
              </w:rPr>
              <w:t>Authentic, verified content and access that no technology company could secure alone</w:t>
            </w:r>
          </w:p>
        </w:tc>
      </w:tr>
      <w:tr>
        <w:tc>
          <w:tcPr>
            <w:tcW w:type="dxa" w:w="4649"/>
            <w:shd w:val="clear" w:color="auto" w:fill="FAF5F1"/>
          </w:tcPr>
          <w:p>
            <w:r/>
            <w:r>
              <w:rPr>
                <w:sz w:val="19"/>
              </w:rPr>
              <w:t>Ready-made VR tours and virtual exhibits for its tourism and education work</w:t>
            </w:r>
          </w:p>
        </w:tc>
        <w:tc>
          <w:tcPr>
            <w:tcW w:type="dxa" w:w="4649"/>
            <w:shd w:val="clear" w:color="auto" w:fill="FAF5F1"/>
          </w:tcPr>
          <w:p>
            <w:r/>
            <w:r>
              <w:rPr>
                <w:sz w:val="19"/>
              </w:rPr>
              <w:t>Credibility and trust with communities, government, funders, and the public</w:t>
            </w:r>
          </w:p>
        </w:tc>
      </w:tr>
      <w:tr>
        <w:tc>
          <w:tcPr>
            <w:tcW w:type="dxa" w:w="4649"/>
          </w:tcPr>
          <w:p>
            <w:r/>
            <w:r>
              <w:rPr>
                <w:sz w:val="19"/>
              </w:rPr>
              <w:t>A modern, visible "A.I &amp; Innovation" programme it can showcase to donors</w:t>
            </w:r>
          </w:p>
        </w:tc>
        <w:tc>
          <w:tcPr>
            <w:tcW w:type="dxa" w:w="4649"/>
          </w:tcPr>
          <w:p>
            <w:r/>
            <w:r>
              <w:rPr>
                <w:sz w:val="19"/>
              </w:rPr>
              <w:t>Stronger grant and investor applications through a recognised heritage partner</w:t>
            </w:r>
          </w:p>
        </w:tc>
      </w:tr>
      <w:tr>
        <w:tc>
          <w:tcPr>
            <w:tcW w:type="dxa" w:w="4649"/>
            <w:shd w:val="clear" w:color="auto" w:fill="FAF5F1"/>
          </w:tcPr>
          <w:p>
            <w:r/>
            <w:r>
              <w:rPr>
                <w:sz w:val="19"/>
              </w:rPr>
              <w:t>New ways to reach the diaspora and international visitors before they travel</w:t>
            </w:r>
          </w:p>
        </w:tc>
        <w:tc>
          <w:tcPr>
            <w:tcW w:type="dxa" w:w="4649"/>
            <w:shd w:val="clear" w:color="auto" w:fill="FAF5F1"/>
          </w:tcPr>
          <w:p>
            <w:r/>
            <w:r>
              <w:rPr>
                <w:sz w:val="19"/>
              </w:rPr>
              <w:t>Real-world projects that grow the team and portfolio</w:t>
            </w:r>
          </w:p>
        </w:tc>
      </w:tr>
      <w:tr>
        <w:tc>
          <w:tcPr>
            <w:tcW w:type="dxa" w:w="4649"/>
          </w:tcPr>
          <w:p>
            <w:r/>
            <w:r>
              <w:rPr>
                <w:sz w:val="19"/>
              </w:rPr>
              <w:t>Trained local staff and youth with digital skills</w:t>
            </w:r>
          </w:p>
        </w:tc>
        <w:tc>
          <w:tcPr>
            <w:tcW w:type="dxa" w:w="4649"/>
          </w:tcPr>
          <w:p>
            <w:r/>
            <w:r>
              <w:rPr>
                <w:sz w:val="19"/>
              </w:rPr>
              <w:t>A pipeline of trained talent to hire from</w:t>
            </w:r>
          </w:p>
        </w:tc>
      </w:tr>
      <w:tr>
        <w:tc>
          <w:tcPr>
            <w:tcW w:type="dxa" w:w="4649"/>
            <w:shd w:val="clear" w:color="auto" w:fill="FAF5F1"/>
          </w:tcPr>
          <w:p>
            <w:r/>
            <w:r>
              <w:rPr>
                <w:sz w:val="19"/>
              </w:rPr>
              <w:t>A share of revenue from tickets, licences, and kiosks (Section 8)</w:t>
            </w:r>
          </w:p>
        </w:tc>
        <w:tc>
          <w:tcPr>
            <w:tcW w:type="dxa" w:w="4649"/>
            <w:shd w:val="clear" w:color="auto" w:fill="FAF5F1"/>
          </w:tcPr>
          <w:p>
            <w:r/>
            <w:r>
              <w:rPr>
                <w:sz w:val="19"/>
              </w:rPr>
              <w:t>A share of revenue that sustains development and maintenance</w:t>
            </w:r>
          </w:p>
        </w:tc>
      </w:tr>
      <w:tr>
        <w:tc>
          <w:tcPr>
            <w:tcW w:type="dxa" w:w="4649"/>
          </w:tcPr>
          <w:p>
            <w:r/>
            <w:r>
              <w:rPr>
                <w:sz w:val="19"/>
              </w:rPr>
              <w:t>Joint branding on a pioneering national project</w:t>
            </w:r>
          </w:p>
        </w:tc>
        <w:tc>
          <w:tcPr>
            <w:tcW w:type="dxa" w:w="4649"/>
          </w:tcPr>
          <w:p>
            <w:r/>
            <w:r>
              <w:rPr>
                <w:sz w:val="19"/>
              </w:rPr>
              <w:t>Joint branding on a pioneering national project</w:t>
            </w:r>
          </w:p>
        </w:tc>
      </w:tr>
    </w:tbl>
    <w:p>
      <w:pPr>
        <w:spacing w:after="40"/>
      </w:pPr>
    </w:p>
    <w:p>
      <w:pPr>
        <w:keepNext/>
        <w:spacing w:before="240"/>
      </w:pPr>
      <w:r>
        <w:rPr>
          <w:b/>
          <w:color w:val="B5562A"/>
          <w:sz w:val="26"/>
        </w:rPr>
        <w:t>7. Intellectual Property, Ownership &amp; Cultural Rights</w:t>
      </w:r>
    </w:p>
    <w:p>
      <w:pPr>
        <w:pStyle w:val="ListBullet"/>
        <w:spacing w:after="60"/>
      </w:pPr>
      <w:r>
        <w:rPr>
          <w:b/>
        </w:rPr>
        <w:t xml:space="preserve">Cultural ownership. </w:t>
      </w:r>
      <w:r>
        <w:t>Liberian communities and custodians remain the owners of their cultural heritage, stories, and knowledge. Nothing in this MOU transfers that ownership.</w:t>
      </w:r>
    </w:p>
    <w:p>
      <w:pPr>
        <w:pStyle w:val="ListBullet"/>
        <w:spacing w:after="60"/>
      </w:pPr>
      <w:r>
        <w:rPr>
          <w:b/>
        </w:rPr>
        <w:t xml:space="preserve">Source materials. </w:t>
      </w:r>
      <w:r>
        <w:t>Photographs, documents, and records provided by HL or custodians remain theirs. HUIX may use them only for VPL.</w:t>
      </w:r>
    </w:p>
    <w:p>
      <w:pPr>
        <w:pStyle w:val="ListBullet"/>
        <w:spacing w:after="60"/>
      </w:pPr>
      <w:r>
        <w:rPr>
          <w:b/>
        </w:rPr>
        <w:t xml:space="preserve">Digital assets. </w:t>
      </w:r>
      <w:r>
        <w:t>3D models, scenes, and recordings created jointly are co-owned by the Parties, with perpetual free use for both for non-commercial heritage, education, and promotion purposes.</w:t>
      </w:r>
    </w:p>
    <w:p>
      <w:pPr>
        <w:pStyle w:val="ListBullet"/>
        <w:spacing w:after="60"/>
      </w:pPr>
      <w:r>
        <w:rPr>
          <w:b/>
        </w:rPr>
        <w:t xml:space="preserve">Software &amp; platform. </w:t>
      </w:r>
      <w:r>
        <w:t>HUIX retains ownership of its software, engines, tools, and the HUIX-HORIZEN platform.</w:t>
      </w:r>
    </w:p>
    <w:p>
      <w:pPr>
        <w:pStyle w:val="ListBullet"/>
        <w:spacing w:after="60"/>
      </w:pPr>
      <w:r>
        <w:rPr>
          <w:b/>
        </w:rPr>
        <w:t xml:space="preserve">Sacred &amp; sensitive content. </w:t>
      </w:r>
      <w:r>
        <w:t>Content that custodians mark as sacred, restricted, or sensitive will not be published, or will be published only on their terms.</w:t>
      </w:r>
    </w:p>
    <w:p>
      <w:pPr>
        <w:pStyle w:val="ListBullet"/>
        <w:spacing w:after="60"/>
      </w:pPr>
      <w:r>
        <w:rPr>
          <w:b/>
        </w:rPr>
        <w:t xml:space="preserve">Credit. </w:t>
      </w:r>
      <w:r>
        <w:t>Tellers, custodians, and contributors will be credited unless they request otherwise.</w:t>
      </w:r>
    </w:p>
    <w:p>
      <w:pPr>
        <w:keepNext/>
        <w:spacing w:before="240"/>
      </w:pPr>
      <w:r>
        <w:rPr>
          <w:b/>
          <w:color w:val="B5562A"/>
          <w:sz w:val="26"/>
        </w:rPr>
        <w:t>8. Revenue Sharing</w:t>
      </w:r>
    </w:p>
    <w:p>
      <w:r>
        <w:rPr>
          <w:i w:val="0"/>
        </w:rPr>
        <w:t>Core educational access for Liberian schools and citizens is intended to remain free. Where VPL earns revenue (for example tourist tickets, international licences, kiosk fees, or sponsorship), the Parties will agree a revenue-sharing arrangement in a separate written agreement before any commercial launch. As a starting point for discussion: [__]% HL, [__]% HUIX, and [__]% to a community heritage fund supporting the communities whose heritage is featured.</w:t>
      </w:r>
    </w:p>
    <w:p>
      <w:pPr>
        <w:keepNext/>
        <w:spacing w:before="240"/>
      </w:pPr>
      <w:r>
        <w:rPr>
          <w:b/>
          <w:color w:val="B5562A"/>
          <w:sz w:val="26"/>
        </w:rPr>
        <w:t>9. Funding &amp; Resources</w:t>
      </w:r>
    </w:p>
    <w:p>
      <w:r>
        <w:rPr>
          <w:i w:val="0"/>
        </w:rPr>
        <w:t>The Parties will work together to secure the funding, equipment, and access listed in Annex A — through HL's own resources where possible, joint grant applications, sponsors, and in-kind donations. No Party is obliged to provide funds under this MOU unless agreed separately in writing.</w:t>
      </w:r>
    </w:p>
    <w:p>
      <w:pPr>
        <w:keepNext/>
        <w:spacing w:before="240"/>
      </w:pPr>
      <w:r>
        <w:rPr>
          <w:b/>
          <w:color w:val="B5562A"/>
          <w:sz w:val="26"/>
        </w:rPr>
        <w:t>10. Ethics, Consent &amp; Data Protection</w:t>
      </w:r>
    </w:p>
    <w:p>
      <w:pPr>
        <w:pStyle w:val="ListBullet"/>
        <w:spacing w:after="60"/>
      </w:pPr>
      <w:r>
        <w:t>Informed consent will be obtained before recording any person, and recordings will be stored securely.</w:t>
      </w:r>
    </w:p>
    <w:p>
      <w:pPr>
        <w:pStyle w:val="ListBullet"/>
        <w:spacing w:after="60"/>
      </w:pPr>
      <w:r>
        <w:t>Contributors may withdraw their stories; withdrawn material will be removed from future releases.</w:t>
      </w:r>
    </w:p>
    <w:p>
      <w:pPr>
        <w:pStyle w:val="ListBullet"/>
        <w:spacing w:after="60"/>
      </w:pPr>
      <w:r>
        <w:t>Visitor data collected by VPL apps will be minimal, privacy-first, and never sold. No biometric data will be collected.</w:t>
      </w:r>
    </w:p>
    <w:p>
      <w:pPr>
        <w:pStyle w:val="ListBullet"/>
        <w:spacing w:after="60"/>
      </w:pPr>
      <w:r>
        <w:t>AI guides will only answer from content reviewed by HL and custodians, and will clearly say when they do not know.</w:t>
      </w:r>
    </w:p>
    <w:p>
      <w:pPr>
        <w:pStyle w:val="ListBullet"/>
        <w:spacing w:after="60"/>
      </w:pPr>
      <w:r>
        <w:t>Content about conflict and trauma will carry content warnings and be developed with survivors' consent and care.</w:t>
      </w:r>
    </w:p>
    <w:p>
      <w:pPr>
        <w:keepNext/>
        <w:spacing w:before="240"/>
      </w:pPr>
      <w:r>
        <w:rPr>
          <w:b/>
          <w:color w:val="B5562A"/>
          <w:sz w:val="26"/>
        </w:rPr>
        <w:t>11. Governance &amp; Communication</w:t>
      </w:r>
    </w:p>
    <w:p>
      <w:pPr>
        <w:pStyle w:val="ListBullet"/>
        <w:spacing w:after="60"/>
      </w:pPr>
      <w:r>
        <w:t>Each Party will name a focal person to manage the partnership day to day.</w:t>
      </w:r>
    </w:p>
    <w:p>
      <w:pPr>
        <w:pStyle w:val="ListBullet"/>
        <w:spacing w:after="60"/>
      </w:pPr>
      <w:r>
        <w:t>A joint steering meeting will be held at least quarterly to review progress, approve content, and plan next steps.</w:t>
      </w:r>
    </w:p>
    <w:p>
      <w:pPr>
        <w:pStyle w:val="ListBullet"/>
        <w:spacing w:after="60"/>
      </w:pPr>
      <w:r>
        <w:t>Major public announcements about the partnership will be agreed by both Parties in advance.</w:t>
      </w:r>
    </w:p>
    <w:p>
      <w:pPr>
        <w:keepNext/>
        <w:spacing w:before="240"/>
      </w:pPr>
      <w:r>
        <w:rPr>
          <w:b/>
          <w:color w:val="B5562A"/>
          <w:sz w:val="26"/>
        </w:rPr>
        <w:t>12. Confidentiality</w:t>
      </w:r>
    </w:p>
    <w:p>
      <w:r>
        <w:rPr>
          <w:i w:val="0"/>
        </w:rPr>
        <w:t>Each Party will keep confidential any non-public information received from the other, and use it only for the purposes of this MOU, during its term and for two (2) years after.</w:t>
      </w:r>
    </w:p>
    <w:p>
      <w:pPr>
        <w:keepNext/>
        <w:spacing w:before="240"/>
      </w:pPr>
      <w:r>
        <w:rPr>
          <w:b/>
          <w:color w:val="B5562A"/>
          <w:sz w:val="26"/>
        </w:rPr>
        <w:t>13. Term, Review &amp; Termination</w:t>
      </w:r>
    </w:p>
    <w:p>
      <w:pPr>
        <w:pStyle w:val="ListBullet"/>
        <w:spacing w:after="60"/>
      </w:pPr>
      <w:r>
        <w:t>This MOU takes effect on the date of the last signature and runs for three (3) years.</w:t>
      </w:r>
    </w:p>
    <w:p>
      <w:pPr>
        <w:pStyle w:val="ListBullet"/>
        <w:spacing w:after="60"/>
      </w:pPr>
      <w:r>
        <w:t>It will be reviewed at the end of the pilot phase and every twelve (12) months after.</w:t>
      </w:r>
    </w:p>
    <w:p>
      <w:pPr>
        <w:pStyle w:val="ListBullet"/>
        <w:spacing w:after="60"/>
      </w:pPr>
      <w:r>
        <w:t>It may be extended or amended in writing by both Parties.</w:t>
      </w:r>
    </w:p>
    <w:p>
      <w:pPr>
        <w:pStyle w:val="ListBullet"/>
        <w:spacing w:after="60"/>
      </w:pPr>
      <w:r>
        <w:t>Either Party may end this MOU with sixty (60) days' written notice. Rights to use assets already created under Section 7 continue after termination.</w:t>
      </w:r>
    </w:p>
    <w:p>
      <w:pPr>
        <w:keepNext/>
        <w:spacing w:before="240"/>
      </w:pPr>
      <w:r>
        <w:rPr>
          <w:b/>
          <w:color w:val="B5562A"/>
          <w:sz w:val="26"/>
        </w:rPr>
        <w:t>14. Nature of this MOU</w:t>
      </w:r>
    </w:p>
    <w:p>
      <w:r>
        <w:rPr>
          <w:i w:val="0"/>
        </w:rPr>
        <w:t>This MOU is a statement of shared intent and is not legally binding, except for Sections 7 (Intellectual Property), 10 (Ethics &amp; Data), and 12 (Confidentiality), which the Parties agree to honour. Specific projects, funding, or revenue arrangements will be set out in separate written agreements.</w:t>
      </w:r>
    </w:p>
    <w:p>
      <w:pPr>
        <w:keepNext/>
        <w:spacing w:before="240"/>
      </w:pPr>
      <w:r>
        <w:rPr>
          <w:b/>
          <w:color w:val="B5562A"/>
          <w:sz w:val="26"/>
        </w:rPr>
        <w:t>15. Dispute Resolution</w:t>
      </w:r>
    </w:p>
    <w:p>
      <w:r>
        <w:rPr>
          <w:i w:val="0"/>
        </w:rPr>
        <w:t>The Parties will resolve any disagreement through good-faith discussion between their leadership. If not resolved within thirty (30) days, they may seek mediation in Monrovia, Liberia. This MOU is governed by the laws of the Republic of Liberia.</w:t>
      </w:r>
    </w:p>
    <w:p>
      <w:pPr>
        <w:keepNext/>
        <w:spacing w:before="240"/>
      </w:pPr>
      <w:r>
        <w:rPr>
          <w:b/>
          <w:color w:val="B5562A"/>
          <w:sz w:val="26"/>
        </w:rPr>
        <w:t>16. Signatures</w:t>
      </w:r>
    </w:p>
    <w:p>
      <w:r>
        <w:rPr>
          <w:i w:val="0"/>
        </w:rPr>
        <w:t>Signed on behalf of the Parties by their authorised representatives:</w:t>
      </w:r>
    </w:p>
    <w:tbl>
      <w:tblPr>
        <w:tblW w:type="auto" w:w="0"/>
        <w:jc w:val="center"/>
        <w:tblLook w:firstColumn="1" w:firstRow="1" w:lastColumn="0" w:lastRow="0" w:noHBand="0" w:noVBand="1" w:val="04A0"/>
      </w:tblPr>
      <w:tblGrid>
        <w:gridCol w:w="4759"/>
        <w:gridCol w:w="4759"/>
      </w:tblGrid>
      <w:tr>
        <w:tc>
          <w:tcPr>
            <w:tcW w:type="dxa" w:w="4759"/>
          </w:tcPr>
          <w:p>
            <w:r/>
            <w:r>
              <w:rPr>
                <w:b/>
                <w:color w:val="B5562A"/>
              </w:rPr>
              <w:t>For HUIX-2099</w:t>
            </w:r>
          </w:p>
        </w:tc>
        <w:tc>
          <w:tcPr>
            <w:tcW w:type="dxa" w:w="4759"/>
          </w:tcPr>
          <w:p>
            <w:r/>
            <w:r>
              <w:rPr>
                <w:b/>
                <w:color w:val="B5562A"/>
              </w:rPr>
              <w:t>For Heritage Liberia</w:t>
            </w:r>
          </w:p>
        </w:tc>
      </w:tr>
      <w:tr>
        <w:tc>
          <w:tcPr>
            <w:tcW w:type="dxa" w:w="4759"/>
          </w:tcPr>
          <w:p>
            <w:r/>
            <w:r>
              <w:br/>
              <w:br/>
              <w:t>Signature: ______________________</w:t>
            </w:r>
          </w:p>
        </w:tc>
        <w:tc>
          <w:tcPr>
            <w:tcW w:type="dxa" w:w="4759"/>
          </w:tcPr>
          <w:p>
            <w:r/>
            <w:r>
              <w:br/>
              <w:br/>
              <w:t>Signature: ______________________</w:t>
            </w:r>
          </w:p>
        </w:tc>
      </w:tr>
      <w:tr>
        <w:tc>
          <w:tcPr>
            <w:tcW w:type="dxa" w:w="4759"/>
          </w:tcPr>
          <w:p>
            <w:r/>
            <w:r>
              <w:t>Name: Victor Edet Coleman</w:t>
            </w:r>
          </w:p>
        </w:tc>
        <w:tc>
          <w:tcPr>
            <w:tcW w:type="dxa" w:w="4759"/>
          </w:tcPr>
          <w:p>
            <w:r/>
            <w:r>
              <w:t>Name: ___________________________</w:t>
            </w:r>
          </w:p>
        </w:tc>
      </w:tr>
      <w:tr>
        <w:tc>
          <w:tcPr>
            <w:tcW w:type="dxa" w:w="4759"/>
          </w:tcPr>
          <w:p>
            <w:r/>
            <w:r>
              <w:t>Title: Founder</w:t>
            </w:r>
          </w:p>
        </w:tc>
        <w:tc>
          <w:tcPr>
            <w:tcW w:type="dxa" w:w="4759"/>
          </w:tcPr>
          <w:p>
            <w:r/>
            <w:r>
              <w:t>Title: ___________________________</w:t>
            </w:r>
          </w:p>
        </w:tc>
      </w:tr>
      <w:tr>
        <w:tc>
          <w:tcPr>
            <w:tcW w:type="dxa" w:w="4759"/>
          </w:tcPr>
          <w:p>
            <w:r/>
            <w:r>
              <w:t>Date: ___________________________</w:t>
            </w:r>
          </w:p>
        </w:tc>
        <w:tc>
          <w:tcPr>
            <w:tcW w:type="dxa" w:w="4759"/>
          </w:tcPr>
          <w:p>
            <w:r/>
            <w:r>
              <w:t>Date: ___________________________</w:t>
            </w:r>
          </w:p>
        </w:tc>
      </w:tr>
      <w:tr>
        <w:tc>
          <w:tcPr>
            <w:tcW w:type="dxa" w:w="4759"/>
          </w:tcPr>
          <w:p>
            <w:r/>
            <w:r>
              <w:t>Witness: ________________________</w:t>
            </w:r>
          </w:p>
        </w:tc>
        <w:tc>
          <w:tcPr>
            <w:tcW w:type="dxa" w:w="4759"/>
          </w:tcPr>
          <w:p>
            <w:r/>
            <w:r>
              <w:t>Witness: ________________________</w:t>
            </w:r>
          </w:p>
        </w:tc>
      </w:tr>
    </w:tbl>
    <w:p>
      <w:r>
        <w:br w:type="page"/>
      </w:r>
    </w:p>
    <w:p>
      <w:pPr>
        <w:spacing w:after="40"/>
      </w:pPr>
      <w:r>
        <w:rPr>
          <w:rFonts w:ascii="Consolas" w:hAnsi="Consolas"/>
          <w:b/>
          <w:color w:val="B5562A"/>
          <w:sz w:val="16"/>
        </w:rPr>
        <w:t>ANNEX A</w:t>
      </w:r>
    </w:p>
    <w:p>
      <w:pPr>
        <w:spacing w:after="80"/>
      </w:pPr>
      <w:r>
        <w:rPr>
          <w:b/>
          <w:color w:val="1A1A1A"/>
          <w:sz w:val="40"/>
        </w:rPr>
        <w:t>Resource Request</w:t>
      </w:r>
    </w:p>
    <w:p>
      <w:r>
        <w:rPr>
          <w:i/>
          <w:color w:val="666666"/>
        </w:rPr>
        <w:t>Figures are indicative estimates in US dollars for discussion and will be confirmed with quotes. Items can be provided as funds, in-kind donations, or through jointly sourced sponsors.</w:t>
      </w:r>
    </w:p>
    <w:p>
      <w:pPr>
        <w:keepNext/>
        <w:spacing w:before="120"/>
      </w:pPr>
      <w:r>
        <w:rPr>
          <w:b/>
          <w:sz w:val="22"/>
        </w:rPr>
        <w:t>A1. Phase 1 — Pilot (minimum to start)</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175"/>
            <w:shd w:val="clear" w:color="auto" w:fill="B5562A"/>
          </w:tcPr>
          <w:p>
            <w:r/>
            <w:r>
              <w:rPr>
                <w:b/>
                <w:color w:val="FFFFFF"/>
                <w:sz w:val="19"/>
              </w:rPr>
              <w:t>Item</w:t>
            </w:r>
          </w:p>
        </w:tc>
        <w:tc>
          <w:tcPr>
            <w:tcW w:type="dxa" w:w="3061"/>
            <w:shd w:val="clear" w:color="auto" w:fill="B5562A"/>
          </w:tcPr>
          <w:p>
            <w:r/>
            <w:r>
              <w:rPr>
                <w:b/>
                <w:color w:val="FFFFFF"/>
                <w:sz w:val="19"/>
              </w:rPr>
              <w:t>Purpose</w:t>
            </w:r>
          </w:p>
        </w:tc>
        <w:tc>
          <w:tcPr>
            <w:tcW w:type="dxa" w:w="907"/>
            <w:shd w:val="clear" w:color="auto" w:fill="B5562A"/>
          </w:tcPr>
          <w:p>
            <w:r/>
            <w:r>
              <w:rPr>
                <w:b/>
                <w:color w:val="FFFFFF"/>
                <w:sz w:val="19"/>
              </w:rPr>
              <w:t>Qty</w:t>
            </w:r>
          </w:p>
        </w:tc>
        <w:tc>
          <w:tcPr>
            <w:tcW w:type="dxa" w:w="1928"/>
            <w:shd w:val="clear" w:color="auto" w:fill="B5562A"/>
          </w:tcPr>
          <w:p>
            <w:r/>
            <w:r>
              <w:rPr>
                <w:b/>
                <w:color w:val="FFFFFF"/>
                <w:sz w:val="19"/>
              </w:rPr>
              <w:t>Est. cost (USD)</w:t>
            </w:r>
          </w:p>
        </w:tc>
      </w:tr>
      <w:tr>
        <w:tc>
          <w:tcPr>
            <w:tcW w:type="dxa" w:w="3175"/>
          </w:tcPr>
          <w:p>
            <w:r/>
            <w:r>
              <w:rPr>
                <w:sz w:val="19"/>
              </w:rPr>
              <w:t>Standalone VR headsets (e.g. Meta Quest 3 / 3S)</w:t>
            </w:r>
          </w:p>
        </w:tc>
        <w:tc>
          <w:tcPr>
            <w:tcW w:type="dxa" w:w="3061"/>
          </w:tcPr>
          <w:p>
            <w:r/>
            <w:r>
              <w:rPr>
                <w:sz w:val="19"/>
              </w:rPr>
              <w:t>Demos, school sessions, kiosk pilot</w:t>
            </w:r>
          </w:p>
        </w:tc>
        <w:tc>
          <w:tcPr>
            <w:tcW w:type="dxa" w:w="907"/>
          </w:tcPr>
          <w:p>
            <w:r/>
            <w:r>
              <w:rPr>
                <w:sz w:val="19"/>
              </w:rPr>
              <w:t>2</w:t>
            </w:r>
          </w:p>
        </w:tc>
        <w:tc>
          <w:tcPr>
            <w:tcW w:type="dxa" w:w="1928"/>
          </w:tcPr>
          <w:p>
            <w:r/>
            <w:r>
              <w:rPr>
                <w:sz w:val="19"/>
              </w:rPr>
              <w:t>700 – 1,000</w:t>
            </w:r>
          </w:p>
        </w:tc>
      </w:tr>
      <w:tr>
        <w:tc>
          <w:tcPr>
            <w:tcW w:type="dxa" w:w="3175"/>
            <w:shd w:val="clear" w:color="auto" w:fill="FAF5F1"/>
          </w:tcPr>
          <w:p>
            <w:r/>
            <w:r>
              <w:rPr>
                <w:sz w:val="19"/>
              </w:rPr>
              <w:t>3D photo-capture kit (camera, lighting, turntable)</w:t>
            </w:r>
          </w:p>
        </w:tc>
        <w:tc>
          <w:tcPr>
            <w:tcW w:type="dxa" w:w="3061"/>
            <w:shd w:val="clear" w:color="auto" w:fill="FAF5F1"/>
          </w:tcPr>
          <w:p>
            <w:r/>
            <w:r>
              <w:rPr>
                <w:sz w:val="19"/>
              </w:rPr>
              <w:t>Scanning artifacts by photogrammetry</w:t>
            </w:r>
          </w:p>
        </w:tc>
        <w:tc>
          <w:tcPr>
            <w:tcW w:type="dxa" w:w="907"/>
            <w:shd w:val="clear" w:color="auto" w:fill="FAF5F1"/>
          </w:tcPr>
          <w:p>
            <w:r/>
            <w:r>
              <w:rPr>
                <w:sz w:val="19"/>
              </w:rPr>
              <w:t>1 set</w:t>
            </w:r>
          </w:p>
        </w:tc>
        <w:tc>
          <w:tcPr>
            <w:tcW w:type="dxa" w:w="1928"/>
            <w:shd w:val="clear" w:color="auto" w:fill="FAF5F1"/>
          </w:tcPr>
          <w:p>
            <w:r/>
            <w:r>
              <w:rPr>
                <w:sz w:val="19"/>
              </w:rPr>
              <w:t>600 – 900</w:t>
            </w:r>
          </w:p>
        </w:tc>
      </w:tr>
      <w:tr>
        <w:tc>
          <w:tcPr>
            <w:tcW w:type="dxa" w:w="3175"/>
          </w:tcPr>
          <w:p>
            <w:r/>
            <w:r>
              <w:rPr>
                <w:sz w:val="19"/>
              </w:rPr>
              <w:t>Field transport &amp; site visits</w:t>
            </w:r>
          </w:p>
        </w:tc>
        <w:tc>
          <w:tcPr>
            <w:tcW w:type="dxa" w:w="3061"/>
          </w:tcPr>
          <w:p>
            <w:r/>
            <w:r>
              <w:rPr>
                <w:sz w:val="19"/>
              </w:rPr>
              <w:t>Access to pilot site and custodians</w:t>
            </w:r>
          </w:p>
        </w:tc>
        <w:tc>
          <w:tcPr>
            <w:tcW w:type="dxa" w:w="907"/>
          </w:tcPr>
          <w:p>
            <w:r/>
            <w:r>
              <w:rPr>
                <w:sz w:val="19"/>
              </w:rPr>
              <w:t>—</w:t>
            </w:r>
          </w:p>
        </w:tc>
        <w:tc>
          <w:tcPr>
            <w:tcW w:type="dxa" w:w="1928"/>
          </w:tcPr>
          <w:p>
            <w:r/>
            <w:r>
              <w:rPr>
                <w:sz w:val="19"/>
              </w:rPr>
              <w:t>300 – 500</w:t>
            </w:r>
          </w:p>
        </w:tc>
      </w:tr>
      <w:tr>
        <w:tc>
          <w:tcPr>
            <w:tcW w:type="dxa" w:w="3175"/>
            <w:shd w:val="clear" w:color="auto" w:fill="FAF5F1"/>
          </w:tcPr>
          <w:p>
            <w:r/>
            <w:r>
              <w:rPr>
                <w:sz w:val="19"/>
              </w:rPr>
              <w:t>Software &amp; cloud (3D, AI, hosting) — 6 months</w:t>
            </w:r>
          </w:p>
        </w:tc>
        <w:tc>
          <w:tcPr>
            <w:tcW w:type="dxa" w:w="3061"/>
            <w:shd w:val="clear" w:color="auto" w:fill="FAF5F1"/>
          </w:tcPr>
          <w:p>
            <w:r/>
            <w:r>
              <w:rPr>
                <w:sz w:val="19"/>
              </w:rPr>
              <w:t>Modelling, AI guide, web hosting</w:t>
            </w:r>
          </w:p>
        </w:tc>
        <w:tc>
          <w:tcPr>
            <w:tcW w:type="dxa" w:w="907"/>
            <w:shd w:val="clear" w:color="auto" w:fill="FAF5F1"/>
          </w:tcPr>
          <w:p>
            <w:r/>
            <w:r>
              <w:rPr>
                <w:sz w:val="19"/>
              </w:rPr>
              <w:t>—</w:t>
            </w:r>
          </w:p>
        </w:tc>
        <w:tc>
          <w:tcPr>
            <w:tcW w:type="dxa" w:w="1928"/>
            <w:shd w:val="clear" w:color="auto" w:fill="FAF5F1"/>
          </w:tcPr>
          <w:p>
            <w:r/>
            <w:r>
              <w:rPr>
                <w:sz w:val="19"/>
              </w:rPr>
              <w:t>400 – 700</w:t>
            </w:r>
          </w:p>
        </w:tc>
      </w:tr>
      <w:tr>
        <w:tc>
          <w:tcPr>
            <w:tcW w:type="dxa" w:w="3175"/>
          </w:tcPr>
          <w:p>
            <w:r/>
            <w:r>
              <w:rPr>
                <w:sz w:val="19"/>
              </w:rPr>
              <w:t>Trainee stipends — 2 trainees × 3 months</w:t>
            </w:r>
          </w:p>
        </w:tc>
        <w:tc>
          <w:tcPr>
            <w:tcW w:type="dxa" w:w="3061"/>
          </w:tcPr>
          <w:p>
            <w:r/>
            <w:r>
              <w:rPr>
                <w:sz w:val="19"/>
              </w:rPr>
              <w:t>Capture and community support</w:t>
            </w:r>
          </w:p>
        </w:tc>
        <w:tc>
          <w:tcPr>
            <w:tcW w:type="dxa" w:w="907"/>
          </w:tcPr>
          <w:p>
            <w:r/>
            <w:r>
              <w:rPr>
                <w:sz w:val="19"/>
              </w:rPr>
              <w:t>2</w:t>
            </w:r>
          </w:p>
        </w:tc>
        <w:tc>
          <w:tcPr>
            <w:tcW w:type="dxa" w:w="1928"/>
          </w:tcPr>
          <w:p>
            <w:r/>
            <w:r>
              <w:rPr>
                <w:sz w:val="19"/>
              </w:rPr>
              <w:t>600 – 1,200</w:t>
            </w:r>
          </w:p>
        </w:tc>
      </w:tr>
      <w:tr>
        <w:tc>
          <w:tcPr>
            <w:tcW w:type="dxa" w:w="3175"/>
            <w:shd w:val="clear" w:color="auto" w:fill="F3E3D9"/>
          </w:tcPr>
          <w:p>
            <w:r/>
            <w:r>
              <w:rPr>
                <w:b/>
                <w:sz w:val="19"/>
              </w:rPr>
              <w:t>Total — Phase 1</w:t>
            </w:r>
          </w:p>
        </w:tc>
        <w:tc>
          <w:tcPr>
            <w:tcW w:type="dxa" w:w="3061"/>
            <w:shd w:val="clear" w:color="auto" w:fill="F3E3D9"/>
          </w:tcPr>
          <w:p>
            <w:r/>
            <w:r>
              <w:rPr>
                <w:b/>
                <w:sz w:val="19"/>
              </w:rPr>
            </w:r>
          </w:p>
        </w:tc>
        <w:tc>
          <w:tcPr>
            <w:tcW w:type="dxa" w:w="907"/>
            <w:shd w:val="clear" w:color="auto" w:fill="F3E3D9"/>
          </w:tcPr>
          <w:p>
            <w:r/>
            <w:r>
              <w:rPr>
                <w:b/>
                <w:sz w:val="19"/>
              </w:rPr>
            </w:r>
          </w:p>
        </w:tc>
        <w:tc>
          <w:tcPr>
            <w:tcW w:type="dxa" w:w="1928"/>
            <w:shd w:val="clear" w:color="auto" w:fill="F3E3D9"/>
          </w:tcPr>
          <w:p>
            <w:r/>
            <w:r>
              <w:rPr>
                <w:b/>
                <w:sz w:val="19"/>
              </w:rPr>
              <w:t>2,600 – 4,300</w:t>
            </w:r>
          </w:p>
        </w:tc>
      </w:tr>
    </w:tbl>
    <w:p>
      <w:pPr>
        <w:spacing w:after="40"/>
      </w:pPr>
    </w:p>
    <w:p>
      <w:pPr>
        <w:keepNext/>
        <w:spacing w:before="120"/>
      </w:pPr>
      <w:r>
        <w:rPr>
          <w:b/>
          <w:sz w:val="22"/>
        </w:rPr>
        <w:t>A2. Phase 2 — Growth (year 1–2)</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3175"/>
            <w:shd w:val="clear" w:color="auto" w:fill="B5562A"/>
          </w:tcPr>
          <w:p>
            <w:r/>
            <w:r>
              <w:rPr>
                <w:b/>
                <w:color w:val="FFFFFF"/>
                <w:sz w:val="19"/>
              </w:rPr>
              <w:t>Item</w:t>
            </w:r>
          </w:p>
        </w:tc>
        <w:tc>
          <w:tcPr>
            <w:tcW w:type="dxa" w:w="3061"/>
            <w:shd w:val="clear" w:color="auto" w:fill="B5562A"/>
          </w:tcPr>
          <w:p>
            <w:r/>
            <w:r>
              <w:rPr>
                <w:b/>
                <w:color w:val="FFFFFF"/>
                <w:sz w:val="19"/>
              </w:rPr>
              <w:t>Purpose</w:t>
            </w:r>
          </w:p>
        </w:tc>
        <w:tc>
          <w:tcPr>
            <w:tcW w:type="dxa" w:w="907"/>
            <w:shd w:val="clear" w:color="auto" w:fill="B5562A"/>
          </w:tcPr>
          <w:p>
            <w:r/>
            <w:r>
              <w:rPr>
                <w:b/>
                <w:color w:val="FFFFFF"/>
                <w:sz w:val="19"/>
              </w:rPr>
              <w:t>Qty</w:t>
            </w:r>
          </w:p>
        </w:tc>
        <w:tc>
          <w:tcPr>
            <w:tcW w:type="dxa" w:w="1928"/>
            <w:shd w:val="clear" w:color="auto" w:fill="B5562A"/>
          </w:tcPr>
          <w:p>
            <w:r/>
            <w:r>
              <w:rPr>
                <w:b/>
                <w:color w:val="FFFFFF"/>
                <w:sz w:val="19"/>
              </w:rPr>
              <w:t>Est. cost (USD)</w:t>
            </w:r>
          </w:p>
        </w:tc>
      </w:tr>
      <w:tr>
        <w:tc>
          <w:tcPr>
            <w:tcW w:type="dxa" w:w="3175"/>
          </w:tcPr>
          <w:p>
            <w:r/>
            <w:r>
              <w:rPr>
                <w:sz w:val="19"/>
              </w:rPr>
              <w:t>Additional VR headsets</w:t>
            </w:r>
          </w:p>
        </w:tc>
        <w:tc>
          <w:tcPr>
            <w:tcW w:type="dxa" w:w="3061"/>
          </w:tcPr>
          <w:p>
            <w:r/>
            <w:r>
              <w:rPr>
                <w:sz w:val="19"/>
              </w:rPr>
              <w:t>Classroom sets and site kiosks</w:t>
            </w:r>
          </w:p>
        </w:tc>
        <w:tc>
          <w:tcPr>
            <w:tcW w:type="dxa" w:w="907"/>
          </w:tcPr>
          <w:p>
            <w:r/>
            <w:r>
              <w:rPr>
                <w:sz w:val="19"/>
              </w:rPr>
              <w:t>6</w:t>
            </w:r>
          </w:p>
        </w:tc>
        <w:tc>
          <w:tcPr>
            <w:tcW w:type="dxa" w:w="1928"/>
          </w:tcPr>
          <w:p>
            <w:r/>
            <w:r>
              <w:rPr>
                <w:sz w:val="19"/>
              </w:rPr>
              <w:t>2,100 – 3,000</w:t>
            </w:r>
          </w:p>
        </w:tc>
      </w:tr>
      <w:tr>
        <w:tc>
          <w:tcPr>
            <w:tcW w:type="dxa" w:w="3175"/>
            <w:shd w:val="clear" w:color="auto" w:fill="FAF5F1"/>
          </w:tcPr>
          <w:p>
            <w:r/>
            <w:r>
              <w:rPr>
                <w:sz w:val="19"/>
              </w:rPr>
              <w:t>GPU workstation</w:t>
            </w:r>
          </w:p>
        </w:tc>
        <w:tc>
          <w:tcPr>
            <w:tcW w:type="dxa" w:w="3061"/>
            <w:shd w:val="clear" w:color="auto" w:fill="FAF5F1"/>
          </w:tcPr>
          <w:p>
            <w:r/>
            <w:r>
              <w:rPr>
                <w:sz w:val="19"/>
              </w:rPr>
              <w:t>3D processing, VR builds, local AI models</w:t>
            </w:r>
          </w:p>
        </w:tc>
        <w:tc>
          <w:tcPr>
            <w:tcW w:type="dxa" w:w="907"/>
            <w:shd w:val="clear" w:color="auto" w:fill="FAF5F1"/>
          </w:tcPr>
          <w:p>
            <w:r/>
            <w:r>
              <w:rPr>
                <w:sz w:val="19"/>
              </w:rPr>
              <w:t>1</w:t>
            </w:r>
          </w:p>
        </w:tc>
        <w:tc>
          <w:tcPr>
            <w:tcW w:type="dxa" w:w="1928"/>
            <w:shd w:val="clear" w:color="auto" w:fill="FAF5F1"/>
          </w:tcPr>
          <w:p>
            <w:r/>
            <w:r>
              <w:rPr>
                <w:sz w:val="19"/>
              </w:rPr>
              <w:t>2,000 – 2,800</w:t>
            </w:r>
          </w:p>
        </w:tc>
      </w:tr>
      <w:tr>
        <w:tc>
          <w:tcPr>
            <w:tcW w:type="dxa" w:w="3175"/>
          </w:tcPr>
          <w:p>
            <w:r/>
            <w:r>
              <w:rPr>
                <w:sz w:val="19"/>
              </w:rPr>
              <w:t>Field laptop</w:t>
            </w:r>
          </w:p>
        </w:tc>
        <w:tc>
          <w:tcPr>
            <w:tcW w:type="dxa" w:w="3061"/>
          </w:tcPr>
          <w:p>
            <w:r/>
            <w:r>
              <w:rPr>
                <w:sz w:val="19"/>
              </w:rPr>
              <w:t>On-site capture and demos</w:t>
            </w:r>
          </w:p>
        </w:tc>
        <w:tc>
          <w:tcPr>
            <w:tcW w:type="dxa" w:w="907"/>
          </w:tcPr>
          <w:p>
            <w:r/>
            <w:r>
              <w:rPr>
                <w:sz w:val="19"/>
              </w:rPr>
              <w:t>1</w:t>
            </w:r>
          </w:p>
        </w:tc>
        <w:tc>
          <w:tcPr>
            <w:tcW w:type="dxa" w:w="1928"/>
          </w:tcPr>
          <w:p>
            <w:r/>
            <w:r>
              <w:rPr>
                <w:sz w:val="19"/>
              </w:rPr>
              <w:t>900 – 1,200</w:t>
            </w:r>
          </w:p>
        </w:tc>
      </w:tr>
      <w:tr>
        <w:tc>
          <w:tcPr>
            <w:tcW w:type="dxa" w:w="3175"/>
            <w:shd w:val="clear" w:color="auto" w:fill="FAF5F1"/>
          </w:tcPr>
          <w:p>
            <w:r/>
            <w:r>
              <w:rPr>
                <w:sz w:val="19"/>
              </w:rPr>
              <w:t>Handheld 3D scanner or LiDAR device</w:t>
            </w:r>
          </w:p>
        </w:tc>
        <w:tc>
          <w:tcPr>
            <w:tcW w:type="dxa" w:w="3061"/>
            <w:shd w:val="clear" w:color="auto" w:fill="FAF5F1"/>
          </w:tcPr>
          <w:p>
            <w:r/>
            <w:r>
              <w:rPr>
                <w:sz w:val="19"/>
              </w:rPr>
              <w:t>Faster capture of sites and large objects</w:t>
            </w:r>
          </w:p>
        </w:tc>
        <w:tc>
          <w:tcPr>
            <w:tcW w:type="dxa" w:w="907"/>
            <w:shd w:val="clear" w:color="auto" w:fill="FAF5F1"/>
          </w:tcPr>
          <w:p>
            <w:r/>
            <w:r>
              <w:rPr>
                <w:sz w:val="19"/>
              </w:rPr>
              <w:t>1</w:t>
            </w:r>
          </w:p>
        </w:tc>
        <w:tc>
          <w:tcPr>
            <w:tcW w:type="dxa" w:w="1928"/>
            <w:shd w:val="clear" w:color="auto" w:fill="FAF5F1"/>
          </w:tcPr>
          <w:p>
            <w:r/>
            <w:r>
              <w:rPr>
                <w:sz w:val="19"/>
              </w:rPr>
              <w:t>800 – 2,000</w:t>
            </w:r>
          </w:p>
        </w:tc>
      </w:tr>
      <w:tr>
        <w:tc>
          <w:tcPr>
            <w:tcW w:type="dxa" w:w="3175"/>
          </w:tcPr>
          <w:p>
            <w:r/>
            <w:r>
              <w:rPr>
                <w:sz w:val="19"/>
              </w:rPr>
              <w:t>AI compute &amp; licences — 12 months</w:t>
            </w:r>
          </w:p>
        </w:tc>
        <w:tc>
          <w:tcPr>
            <w:tcW w:type="dxa" w:w="3061"/>
          </w:tcPr>
          <w:p>
            <w:r/>
            <w:r>
              <w:rPr>
                <w:sz w:val="19"/>
              </w:rPr>
              <w:t>AI guides, LLM Liberia language work</w:t>
            </w:r>
          </w:p>
        </w:tc>
        <w:tc>
          <w:tcPr>
            <w:tcW w:type="dxa" w:w="907"/>
          </w:tcPr>
          <w:p>
            <w:r/>
            <w:r>
              <w:rPr>
                <w:sz w:val="19"/>
              </w:rPr>
              <w:t>—</w:t>
            </w:r>
          </w:p>
        </w:tc>
        <w:tc>
          <w:tcPr>
            <w:tcW w:type="dxa" w:w="1928"/>
          </w:tcPr>
          <w:p>
            <w:r/>
            <w:r>
              <w:rPr>
                <w:sz w:val="19"/>
              </w:rPr>
              <w:t>1,200 – 2,400</w:t>
            </w:r>
          </w:p>
        </w:tc>
      </w:tr>
      <w:tr>
        <w:tc>
          <w:tcPr>
            <w:tcW w:type="dxa" w:w="3175"/>
            <w:shd w:val="clear" w:color="auto" w:fill="FAF5F1"/>
          </w:tcPr>
          <w:p>
            <w:r/>
            <w:r>
              <w:rPr>
                <w:sz w:val="19"/>
              </w:rPr>
              <w:t>Kiosk hardware for a heritage site</w:t>
            </w:r>
          </w:p>
        </w:tc>
        <w:tc>
          <w:tcPr>
            <w:tcW w:type="dxa" w:w="3061"/>
            <w:shd w:val="clear" w:color="auto" w:fill="FAF5F1"/>
          </w:tcPr>
          <w:p>
            <w:r/>
            <w:r>
              <w:rPr>
                <w:sz w:val="19"/>
              </w:rPr>
              <w:t>Public VR/AR access point</w:t>
            </w:r>
          </w:p>
        </w:tc>
        <w:tc>
          <w:tcPr>
            <w:tcW w:type="dxa" w:w="907"/>
            <w:shd w:val="clear" w:color="auto" w:fill="FAF5F1"/>
          </w:tcPr>
          <w:p>
            <w:r/>
            <w:r>
              <w:rPr>
                <w:sz w:val="19"/>
              </w:rPr>
              <w:t>1</w:t>
            </w:r>
          </w:p>
        </w:tc>
        <w:tc>
          <w:tcPr>
            <w:tcW w:type="dxa" w:w="1928"/>
            <w:shd w:val="clear" w:color="auto" w:fill="FAF5F1"/>
          </w:tcPr>
          <w:p>
            <w:r/>
            <w:r>
              <w:rPr>
                <w:sz w:val="19"/>
              </w:rPr>
              <w:t>800 – 1,500</w:t>
            </w:r>
          </w:p>
        </w:tc>
      </w:tr>
      <w:tr>
        <w:tc>
          <w:tcPr>
            <w:tcW w:type="dxa" w:w="3175"/>
          </w:tcPr>
          <w:p>
            <w:r/>
            <w:r>
              <w:rPr>
                <w:sz w:val="19"/>
              </w:rPr>
              <w:t>New team members — stipends/salaries (see Annex D)</w:t>
            </w:r>
          </w:p>
        </w:tc>
        <w:tc>
          <w:tcPr>
            <w:tcW w:type="dxa" w:w="3061"/>
          </w:tcPr>
          <w:p>
            <w:r/>
            <w:r>
              <w:rPr>
                <w:sz w:val="19"/>
              </w:rPr>
              <w:t>Grow the core team</w:t>
            </w:r>
          </w:p>
        </w:tc>
        <w:tc>
          <w:tcPr>
            <w:tcW w:type="dxa" w:w="907"/>
          </w:tcPr>
          <w:p>
            <w:r/>
            <w:r>
              <w:rPr>
                <w:sz w:val="19"/>
              </w:rPr>
              <w:t>3–4</w:t>
            </w:r>
          </w:p>
        </w:tc>
        <w:tc>
          <w:tcPr>
            <w:tcW w:type="dxa" w:w="1928"/>
          </w:tcPr>
          <w:p>
            <w:r/>
            <w:r>
              <w:rPr>
                <w:sz w:val="19"/>
              </w:rPr>
              <w:t>4,000 – 9,000</w:t>
            </w:r>
          </w:p>
        </w:tc>
      </w:tr>
      <w:tr>
        <w:tc>
          <w:tcPr>
            <w:tcW w:type="dxa" w:w="3175"/>
            <w:shd w:val="clear" w:color="auto" w:fill="FAF5F1"/>
          </w:tcPr>
          <w:p>
            <w:r/>
            <w:r>
              <w:rPr>
                <w:sz w:val="19"/>
              </w:rPr>
              <w:t>Storage &amp; backup (archive)</w:t>
            </w:r>
          </w:p>
        </w:tc>
        <w:tc>
          <w:tcPr>
            <w:tcW w:type="dxa" w:w="3061"/>
            <w:shd w:val="clear" w:color="auto" w:fill="FAF5F1"/>
          </w:tcPr>
          <w:p>
            <w:r/>
            <w:r>
              <w:rPr>
                <w:sz w:val="19"/>
              </w:rPr>
              <w:t>Secure long-term preservation</w:t>
            </w:r>
          </w:p>
        </w:tc>
        <w:tc>
          <w:tcPr>
            <w:tcW w:type="dxa" w:w="907"/>
            <w:shd w:val="clear" w:color="auto" w:fill="FAF5F1"/>
          </w:tcPr>
          <w:p>
            <w:r/>
            <w:r>
              <w:rPr>
                <w:sz w:val="19"/>
              </w:rPr>
              <w:t>—</w:t>
            </w:r>
          </w:p>
        </w:tc>
        <w:tc>
          <w:tcPr>
            <w:tcW w:type="dxa" w:w="1928"/>
            <w:shd w:val="clear" w:color="auto" w:fill="FAF5F1"/>
          </w:tcPr>
          <w:p>
            <w:r/>
            <w:r>
              <w:rPr>
                <w:sz w:val="19"/>
              </w:rPr>
              <w:t>300 – 600</w:t>
            </w:r>
          </w:p>
        </w:tc>
      </w:tr>
      <w:tr>
        <w:tc>
          <w:tcPr>
            <w:tcW w:type="dxa" w:w="3175"/>
            <w:shd w:val="clear" w:color="auto" w:fill="F3E3D9"/>
          </w:tcPr>
          <w:p>
            <w:r/>
            <w:r>
              <w:rPr>
                <w:b/>
                <w:sz w:val="19"/>
              </w:rPr>
              <w:t>Total — Phase 2</w:t>
            </w:r>
          </w:p>
        </w:tc>
        <w:tc>
          <w:tcPr>
            <w:tcW w:type="dxa" w:w="3061"/>
            <w:shd w:val="clear" w:color="auto" w:fill="F3E3D9"/>
          </w:tcPr>
          <w:p>
            <w:r/>
            <w:r>
              <w:rPr>
                <w:b/>
                <w:sz w:val="19"/>
              </w:rPr>
            </w:r>
          </w:p>
        </w:tc>
        <w:tc>
          <w:tcPr>
            <w:tcW w:type="dxa" w:w="907"/>
            <w:shd w:val="clear" w:color="auto" w:fill="F3E3D9"/>
          </w:tcPr>
          <w:p>
            <w:r/>
            <w:r>
              <w:rPr>
                <w:b/>
                <w:sz w:val="19"/>
              </w:rPr>
            </w:r>
          </w:p>
        </w:tc>
        <w:tc>
          <w:tcPr>
            <w:tcW w:type="dxa" w:w="1928"/>
            <w:shd w:val="clear" w:color="auto" w:fill="F3E3D9"/>
          </w:tcPr>
          <w:p>
            <w:r/>
            <w:r>
              <w:rPr>
                <w:b/>
                <w:sz w:val="19"/>
              </w:rPr>
              <w:t>12,100 – 22,500</w:t>
            </w:r>
          </w:p>
        </w:tc>
      </w:tr>
    </w:tbl>
    <w:p>
      <w:pPr>
        <w:spacing w:after="40"/>
      </w:pPr>
    </w:p>
    <w:p>
      <w:pPr>
        <w:keepNext/>
        <w:spacing w:before="120"/>
      </w:pPr>
      <w:r>
        <w:rPr>
          <w:b/>
          <w:sz w:val="22"/>
        </w:rPr>
        <w:t>A3. Non-financial support requested</w:t>
      </w:r>
    </w:p>
    <w:p>
      <w:pPr>
        <w:pStyle w:val="ListBullet"/>
        <w:spacing w:after="60"/>
      </w:pPr>
      <w:r>
        <w:t>Access to heritage sites, shrines, and collections — including help approaching the National Museum of Liberia and other custodians.</w:t>
      </w:r>
    </w:p>
    <w:p>
      <w:pPr>
        <w:pStyle w:val="ListBullet"/>
        <w:spacing w:after="60"/>
      </w:pPr>
      <w:r>
        <w:t>Introductions to elders, chiefs, historians, and community leaders.</w:t>
      </w:r>
    </w:p>
    <w:p>
      <w:pPr>
        <w:pStyle w:val="ListBullet"/>
        <w:spacing w:after="60"/>
      </w:pPr>
      <w:r>
        <w:t>Historical review by HL's expert network.</w:t>
      </w:r>
    </w:p>
    <w:p>
      <w:pPr>
        <w:pStyle w:val="ListBullet"/>
        <w:spacing w:after="60"/>
      </w:pPr>
      <w:r>
        <w:t>A letter of support for grant and investor applications.</w:t>
      </w:r>
    </w:p>
    <w:p>
      <w:pPr>
        <w:pStyle w:val="ListBullet"/>
        <w:spacing w:after="60"/>
      </w:pPr>
      <w:r>
        <w:t>Promotion through HL's channels, events, tours, and Homecoming programmes, and support for public campaigns and adverts.</w:t>
      </w:r>
    </w:p>
    <w:p>
      <w:pPr>
        <w:pStyle w:val="ListBullet"/>
        <w:spacing w:after="60"/>
      </w:pPr>
      <w:r>
        <w:t>Introductions to government (Ministry of Information, Cultural Affairs &amp; Tourism), schools, and potential sponsors.</w:t>
      </w:r>
    </w:p>
    <w:p>
      <w:r>
        <w:br w:type="page"/>
      </w:r>
    </w:p>
    <w:p>
      <w:pPr>
        <w:spacing w:after="40"/>
      </w:pPr>
      <w:r>
        <w:rPr>
          <w:rFonts w:ascii="Consolas" w:hAnsi="Consolas"/>
          <w:b/>
          <w:color w:val="B5562A"/>
          <w:sz w:val="16"/>
        </w:rPr>
        <w:t>ANNEX B</w:t>
      </w:r>
    </w:p>
    <w:p>
      <w:pPr>
        <w:spacing w:after="80"/>
      </w:pPr>
      <w:r>
        <w:rPr>
          <w:b/>
          <w:color w:val="1A1A1A"/>
          <w:sz w:val="40"/>
        </w:rPr>
        <w:t>Long-Term Roadmap</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74"/>
            <w:shd w:val="clear" w:color="auto" w:fill="B5562A"/>
          </w:tcPr>
          <w:p>
            <w:r/>
            <w:r>
              <w:rPr>
                <w:b/>
                <w:color w:val="FFFFFF"/>
                <w:sz w:val="19"/>
              </w:rPr>
              <w:t>Phase</w:t>
            </w:r>
          </w:p>
        </w:tc>
        <w:tc>
          <w:tcPr>
            <w:tcW w:type="dxa" w:w="1474"/>
            <w:shd w:val="clear" w:color="auto" w:fill="B5562A"/>
          </w:tcPr>
          <w:p>
            <w:r/>
            <w:r>
              <w:rPr>
                <w:b/>
                <w:color w:val="FFFFFF"/>
                <w:sz w:val="19"/>
              </w:rPr>
              <w:t>Timeline</w:t>
            </w:r>
          </w:p>
        </w:tc>
        <w:tc>
          <w:tcPr>
            <w:tcW w:type="dxa" w:w="3855"/>
            <w:shd w:val="clear" w:color="auto" w:fill="B5562A"/>
          </w:tcPr>
          <w:p>
            <w:r/>
            <w:r>
              <w:rPr>
                <w:b/>
                <w:color w:val="FFFFFF"/>
                <w:sz w:val="19"/>
              </w:rPr>
              <w:t>Key activities</w:t>
            </w:r>
          </w:p>
        </w:tc>
        <w:tc>
          <w:tcPr>
            <w:tcW w:type="dxa" w:w="2494"/>
            <w:shd w:val="clear" w:color="auto" w:fill="B5562A"/>
          </w:tcPr>
          <w:p>
            <w:r/>
            <w:r>
              <w:rPr>
                <w:b/>
                <w:color w:val="FFFFFF"/>
                <w:sz w:val="19"/>
              </w:rPr>
              <w:t>Success looks like</w:t>
            </w:r>
          </w:p>
        </w:tc>
      </w:tr>
      <w:tr>
        <w:tc>
          <w:tcPr>
            <w:tcW w:type="dxa" w:w="1474"/>
          </w:tcPr>
          <w:p>
            <w:r/>
            <w:r>
              <w:rPr>
                <w:sz w:val="19"/>
              </w:rPr>
              <w:t>1 · Pilot</w:t>
            </w:r>
          </w:p>
        </w:tc>
        <w:tc>
          <w:tcPr>
            <w:tcW w:type="dxa" w:w="1474"/>
          </w:tcPr>
          <w:p>
            <w:r/>
            <w:r>
              <w:rPr>
                <w:sz w:val="19"/>
              </w:rPr>
              <w:t>Months 0 – 6</w:t>
            </w:r>
          </w:p>
        </w:tc>
        <w:tc>
          <w:tcPr>
            <w:tcW w:type="dxa" w:w="3855"/>
          </w:tcPr>
          <w:p>
            <w:r/>
            <w:r>
              <w:rPr>
                <w:sz w:val="19"/>
              </w:rPr>
              <w:t>Choose one site or artifact collection; scan and model it; record 3–5 oral histories; build a short VR tour and web viewer; first public demo at an HL event.</w:t>
            </w:r>
          </w:p>
        </w:tc>
        <w:tc>
          <w:tcPr>
            <w:tcW w:type="dxa" w:w="2494"/>
          </w:tcPr>
          <w:p>
            <w:r/>
            <w:r>
              <w:rPr>
                <w:sz w:val="19"/>
              </w:rPr>
              <w:t>One finished experience, approved by custodians, shown to the public.</w:t>
            </w:r>
          </w:p>
        </w:tc>
      </w:tr>
      <w:tr>
        <w:tc>
          <w:tcPr>
            <w:tcW w:type="dxa" w:w="1474"/>
            <w:shd w:val="clear" w:color="auto" w:fill="FAF5F1"/>
          </w:tcPr>
          <w:p>
            <w:r/>
            <w:r>
              <w:rPr>
                <w:sz w:val="19"/>
              </w:rPr>
              <w:t>2 · Growth</w:t>
            </w:r>
          </w:p>
        </w:tc>
        <w:tc>
          <w:tcPr>
            <w:tcW w:type="dxa" w:w="1474"/>
            <w:shd w:val="clear" w:color="auto" w:fill="FAF5F1"/>
          </w:tcPr>
          <w:p>
            <w:r/>
            <w:r>
              <w:rPr>
                <w:sz w:val="19"/>
              </w:rPr>
              <w:t>Months 6 – 18</w:t>
            </w:r>
          </w:p>
        </w:tc>
        <w:tc>
          <w:tcPr>
            <w:tcW w:type="dxa" w:w="3855"/>
            <w:shd w:val="clear" w:color="auto" w:fill="FAF5F1"/>
          </w:tcPr>
          <w:p>
            <w:r/>
            <w:r>
              <w:rPr>
                <w:sz w:val="19"/>
              </w:rPr>
              <w:t>Add 3–5 sites; launch history game and classroom pack; install first kiosk; AI guide in Liberian English; grow team; joint grants.</w:t>
            </w:r>
          </w:p>
        </w:tc>
        <w:tc>
          <w:tcPr>
            <w:tcW w:type="dxa" w:w="2494"/>
            <w:shd w:val="clear" w:color="auto" w:fill="FAF5F1"/>
          </w:tcPr>
          <w:p>
            <w:r/>
            <w:r>
              <w:rPr>
                <w:sz w:val="19"/>
              </w:rPr>
              <w:t>Used by schools and tourists; first funding secured; team of 5–6.</w:t>
            </w:r>
          </w:p>
        </w:tc>
      </w:tr>
      <w:tr>
        <w:tc>
          <w:tcPr>
            <w:tcW w:type="dxa" w:w="1474"/>
          </w:tcPr>
          <w:p>
            <w:r/>
            <w:r>
              <w:rPr>
                <w:sz w:val="19"/>
              </w:rPr>
              <w:t>3 · Scale</w:t>
            </w:r>
          </w:p>
        </w:tc>
        <w:tc>
          <w:tcPr>
            <w:tcW w:type="dxa" w:w="1474"/>
          </w:tcPr>
          <w:p>
            <w:r/>
            <w:r>
              <w:rPr>
                <w:sz w:val="19"/>
              </w:rPr>
              <w:t>Months 18 – 36</w:t>
            </w:r>
          </w:p>
        </w:tc>
        <w:tc>
          <w:tcPr>
            <w:tcW w:type="dxa" w:w="3855"/>
          </w:tcPr>
          <w:p>
            <w:r/>
            <w:r>
              <w:rPr>
                <w:sz w:val="19"/>
              </w:rPr>
              <w:t>National virtual museum online and offline; tours sold to international visitors; diaspora programme; AI guides in local languages with LLM Liberia.</w:t>
            </w:r>
          </w:p>
        </w:tc>
        <w:tc>
          <w:tcPr>
            <w:tcW w:type="dxa" w:w="2494"/>
          </w:tcPr>
          <w:p>
            <w:r/>
            <w:r>
              <w:rPr>
                <w:sz w:val="19"/>
              </w:rPr>
              <w:t>Self-sustaining revenue; Liberia's largest digital heritage archive.</w:t>
            </w:r>
          </w:p>
        </w:tc>
      </w:tr>
      <w:tr>
        <w:tc>
          <w:tcPr>
            <w:tcW w:type="dxa" w:w="1474"/>
            <w:shd w:val="clear" w:color="auto" w:fill="FAF5F1"/>
          </w:tcPr>
          <w:p>
            <w:r/>
            <w:r>
              <w:rPr>
                <w:sz w:val="19"/>
              </w:rPr>
              <w:t>Beyond</w:t>
            </w:r>
          </w:p>
        </w:tc>
        <w:tc>
          <w:tcPr>
            <w:tcW w:type="dxa" w:w="1474"/>
            <w:shd w:val="clear" w:color="auto" w:fill="FAF5F1"/>
          </w:tcPr>
          <w:p>
            <w:r/>
            <w:r>
              <w:rPr>
                <w:sz w:val="19"/>
              </w:rPr>
              <w:t>Year 3+</w:t>
            </w:r>
          </w:p>
        </w:tc>
        <w:tc>
          <w:tcPr>
            <w:tcW w:type="dxa" w:w="3855"/>
            <w:shd w:val="clear" w:color="auto" w:fill="FAF5F1"/>
          </w:tcPr>
          <w:p>
            <w:r/>
            <w:r>
              <w:rPr>
                <w:sz w:val="19"/>
              </w:rPr>
              <w:t>Regional expansion; partnerships with international museums and universities; research archive.</w:t>
            </w:r>
          </w:p>
        </w:tc>
        <w:tc>
          <w:tcPr>
            <w:tcW w:type="dxa" w:w="2494"/>
            <w:shd w:val="clear" w:color="auto" w:fill="FAF5F1"/>
          </w:tcPr>
          <w:p>
            <w:r/>
            <w:r>
              <w:rPr>
                <w:sz w:val="19"/>
              </w:rPr>
              <w:t>A model for digital heritage in West Africa.</w:t>
            </w:r>
          </w:p>
        </w:tc>
      </w:tr>
    </w:tbl>
    <w:p>
      <w:pPr>
        <w:spacing w:after="40"/>
      </w:pPr>
    </w:p>
    <w:p>
      <w:pPr>
        <w:spacing w:after="40"/>
      </w:pPr>
      <w:r>
        <w:rPr>
          <w:rFonts w:ascii="Consolas" w:hAnsi="Consolas"/>
          <w:b/>
          <w:color w:val="B5562A"/>
          <w:sz w:val="16"/>
        </w:rPr>
        <w:t>ANNEX C</w:t>
      </w:r>
    </w:p>
    <w:p>
      <w:pPr>
        <w:spacing w:after="80"/>
      </w:pPr>
      <w:r>
        <w:rPr>
          <w:b/>
          <w:color w:val="1A1A1A"/>
          <w:sz w:val="40"/>
        </w:rPr>
        <w:t>Pilot Project Proposal</w:t>
      </w:r>
    </w:p>
    <w:tbl>
      <w:tblPr>
        <w:tblStyle w:val="TableGrid"/>
        <w:tblW w:type="auto" w:w="0"/>
        <w:jc w:val="center"/>
        <w:tblLook w:firstColumn="1" w:firstRow="1" w:lastColumn="0" w:lastRow="0" w:noHBand="0" w:noVBand="1" w:val="04A0"/>
      </w:tblPr>
      <w:tblGrid>
        <w:gridCol w:w="4759"/>
        <w:gridCol w:w="4759"/>
      </w:tblGrid>
      <w:tr>
        <w:tc>
          <w:tcPr>
            <w:tcW w:type="dxa" w:w="2041"/>
            <w:shd w:val="clear" w:color="auto" w:fill="B5562A"/>
          </w:tcPr>
          <w:p>
            <w:r/>
            <w:r>
              <w:rPr>
                <w:b/>
                <w:color w:val="FFFFFF"/>
                <w:sz w:val="19"/>
              </w:rPr>
            </w:r>
          </w:p>
        </w:tc>
        <w:tc>
          <w:tcPr>
            <w:tcW w:type="dxa" w:w="7257"/>
            <w:shd w:val="clear" w:color="auto" w:fill="B5562A"/>
          </w:tcPr>
          <w:p>
            <w:r/>
            <w:r>
              <w:rPr>
                <w:b/>
                <w:color w:val="FFFFFF"/>
                <w:sz w:val="19"/>
              </w:rPr>
              <w:t>Proposal</w:t>
            </w:r>
          </w:p>
        </w:tc>
      </w:tr>
      <w:tr>
        <w:tc>
          <w:tcPr>
            <w:tcW w:type="dxa" w:w="2041"/>
          </w:tcPr>
          <w:p>
            <w:r/>
            <w:r>
              <w:rPr>
                <w:sz w:val="19"/>
              </w:rPr>
              <w:t>Pilot site</w:t>
            </w:r>
          </w:p>
        </w:tc>
        <w:tc>
          <w:tcPr>
            <w:tcW w:type="dxa" w:w="7257"/>
          </w:tcPr>
          <w:p>
            <w:r/>
            <w:r>
              <w:rPr>
                <w:sz w:val="19"/>
              </w:rPr>
              <w:t>[To be chosen together — e.g. Providence Island, a historic Monrovia building, or a curated set of artifacts]</w:t>
            </w:r>
          </w:p>
        </w:tc>
      </w:tr>
      <w:tr>
        <w:tc>
          <w:tcPr>
            <w:tcW w:type="dxa" w:w="2041"/>
            <w:shd w:val="clear" w:color="auto" w:fill="FAF5F1"/>
          </w:tcPr>
          <w:p>
            <w:r/>
            <w:r>
              <w:rPr>
                <w:sz w:val="19"/>
              </w:rPr>
              <w:t>Deliverables</w:t>
            </w:r>
          </w:p>
        </w:tc>
        <w:tc>
          <w:tcPr>
            <w:tcW w:type="dxa" w:w="7257"/>
            <w:shd w:val="clear" w:color="auto" w:fill="FAF5F1"/>
          </w:tcPr>
          <w:p>
            <w:r/>
            <w:r>
              <w:rPr>
                <w:sz w:val="19"/>
              </w:rPr>
              <w:t>3D models of the site/artifacts; a 5–10 minute VR tour; a web/mobile 3D viewer; 3–5 recorded oral histories; a short promotional video.</w:t>
            </w:r>
          </w:p>
        </w:tc>
      </w:tr>
      <w:tr>
        <w:tc>
          <w:tcPr>
            <w:tcW w:type="dxa" w:w="2041"/>
          </w:tcPr>
          <w:p>
            <w:r/>
            <w:r>
              <w:rPr>
                <w:sz w:val="19"/>
              </w:rPr>
              <w:t>Duration</w:t>
            </w:r>
          </w:p>
        </w:tc>
        <w:tc>
          <w:tcPr>
            <w:tcW w:type="dxa" w:w="7257"/>
          </w:tcPr>
          <w:p>
            <w:r/>
            <w:r>
              <w:rPr>
                <w:sz w:val="19"/>
              </w:rPr>
              <w:t>Up to 6 months from signing</w:t>
            </w:r>
          </w:p>
        </w:tc>
      </w:tr>
      <w:tr>
        <w:tc>
          <w:tcPr>
            <w:tcW w:type="dxa" w:w="2041"/>
            <w:shd w:val="clear" w:color="auto" w:fill="FAF5F1"/>
          </w:tcPr>
          <w:p>
            <w:r/>
            <w:r>
              <w:rPr>
                <w:sz w:val="19"/>
              </w:rPr>
              <w:t>HL provides</w:t>
            </w:r>
          </w:p>
        </w:tc>
        <w:tc>
          <w:tcPr>
            <w:tcW w:type="dxa" w:w="7257"/>
            <w:shd w:val="clear" w:color="auto" w:fill="FAF5F1"/>
          </w:tcPr>
          <w:p>
            <w:r/>
            <w:r>
              <w:rPr>
                <w:sz w:val="19"/>
              </w:rPr>
              <w:t>Site access, custodian introductions, historical review, promotion, event slot for launch</w:t>
            </w:r>
          </w:p>
        </w:tc>
      </w:tr>
      <w:tr>
        <w:tc>
          <w:tcPr>
            <w:tcW w:type="dxa" w:w="2041"/>
          </w:tcPr>
          <w:p>
            <w:r/>
            <w:r>
              <w:rPr>
                <w:sz w:val="19"/>
              </w:rPr>
              <w:t>HUIX provides</w:t>
            </w:r>
          </w:p>
        </w:tc>
        <w:tc>
          <w:tcPr>
            <w:tcW w:type="dxa" w:w="7257"/>
          </w:tcPr>
          <w:p>
            <w:r/>
            <w:r>
              <w:rPr>
                <w:sz w:val="19"/>
              </w:rPr>
              <w:t>Capture, modelling, development, training, launch demo</w:t>
            </w:r>
          </w:p>
        </w:tc>
      </w:tr>
      <w:tr>
        <w:tc>
          <w:tcPr>
            <w:tcW w:type="dxa" w:w="2041"/>
            <w:shd w:val="clear" w:color="auto" w:fill="FAF5F1"/>
          </w:tcPr>
          <w:p>
            <w:r/>
            <w:r>
              <w:rPr>
                <w:sz w:val="19"/>
              </w:rPr>
              <w:t>Launch</w:t>
            </w:r>
          </w:p>
        </w:tc>
        <w:tc>
          <w:tcPr>
            <w:tcW w:type="dxa" w:w="7257"/>
            <w:shd w:val="clear" w:color="auto" w:fill="FAF5F1"/>
          </w:tcPr>
          <w:p>
            <w:r/>
            <w:r>
              <w:rPr>
                <w:sz w:val="19"/>
              </w:rPr>
              <w:t>Joint public demo at an HL event or Homecoming programme</w:t>
            </w:r>
          </w:p>
        </w:tc>
      </w:tr>
    </w:tbl>
    <w:p>
      <w:pPr>
        <w:spacing w:after="40"/>
      </w:pPr>
    </w:p>
    <w:p>
      <w:pPr>
        <w:spacing w:after="40"/>
      </w:pPr>
      <w:r>
        <w:rPr>
          <w:rFonts w:ascii="Consolas" w:hAnsi="Consolas"/>
          <w:b/>
          <w:color w:val="B5562A"/>
          <w:sz w:val="16"/>
        </w:rPr>
        <w:t>ANNEX D</w:t>
      </w:r>
    </w:p>
    <w:p>
      <w:pPr>
        <w:spacing w:after="80"/>
      </w:pPr>
      <w:r>
        <w:rPr>
          <w:b/>
          <w:color w:val="1A1A1A"/>
          <w:sz w:val="40"/>
        </w:rPr>
        <w:t>Team Expansion Plan</w:t>
      </w:r>
    </w:p>
    <w:p>
      <w:r>
        <w:rPr>
          <w:i w:val="0"/>
        </w:rPr>
        <w:t>Current core team: Victor (3D Modeler &amp; Software Developer) and Dave Weedor (Business Strategist).</w:t>
      </w:r>
    </w:p>
    <w:tbl>
      <w:tblPr>
        <w:tblStyle w:val="TableGrid"/>
        <w:tblW w:type="auto" w:w="0"/>
        <w:jc w:val="center"/>
        <w:tblLook w:firstColumn="1" w:firstRow="1" w:lastColumn="0" w:lastRow="0" w:noHBand="0" w:noVBand="1" w:val="04A0"/>
      </w:tblPr>
      <w:tblGrid>
        <w:gridCol w:w="3173"/>
        <w:gridCol w:w="3173"/>
        <w:gridCol w:w="3173"/>
      </w:tblGrid>
      <w:tr>
        <w:tc>
          <w:tcPr>
            <w:tcW w:type="dxa" w:w="2948"/>
            <w:shd w:val="clear" w:color="auto" w:fill="B5562A"/>
          </w:tcPr>
          <w:p>
            <w:r/>
            <w:r>
              <w:rPr>
                <w:b/>
                <w:color w:val="FFFFFF"/>
                <w:sz w:val="19"/>
              </w:rPr>
              <w:t>Role</w:t>
            </w:r>
          </w:p>
        </w:tc>
        <w:tc>
          <w:tcPr>
            <w:tcW w:type="dxa" w:w="4195"/>
            <w:shd w:val="clear" w:color="auto" w:fill="B5562A"/>
          </w:tcPr>
          <w:p>
            <w:r/>
            <w:r>
              <w:rPr>
                <w:b/>
                <w:color w:val="FFFFFF"/>
                <w:sz w:val="19"/>
              </w:rPr>
              <w:t>Why it's needed</w:t>
            </w:r>
          </w:p>
        </w:tc>
        <w:tc>
          <w:tcPr>
            <w:tcW w:type="dxa" w:w="2154"/>
            <w:shd w:val="clear" w:color="auto" w:fill="B5562A"/>
          </w:tcPr>
          <w:p>
            <w:r/>
            <w:r>
              <w:rPr>
                <w:b/>
                <w:color w:val="FFFFFF"/>
                <w:sz w:val="19"/>
              </w:rPr>
              <w:t>When</w:t>
            </w:r>
          </w:p>
        </w:tc>
      </w:tr>
      <w:tr>
        <w:tc>
          <w:tcPr>
            <w:tcW w:type="dxa" w:w="2948"/>
          </w:tcPr>
          <w:p>
            <w:r/>
            <w:r>
              <w:rPr>
                <w:sz w:val="19"/>
              </w:rPr>
              <w:t>3D capture &amp; photogrammetry technician</w:t>
            </w:r>
          </w:p>
        </w:tc>
        <w:tc>
          <w:tcPr>
            <w:tcW w:type="dxa" w:w="4195"/>
          </w:tcPr>
          <w:p>
            <w:r/>
            <w:r>
              <w:rPr>
                <w:sz w:val="19"/>
              </w:rPr>
              <w:t>Scan artifacts and sites in the field</w:t>
            </w:r>
          </w:p>
        </w:tc>
        <w:tc>
          <w:tcPr>
            <w:tcW w:type="dxa" w:w="2154"/>
          </w:tcPr>
          <w:p>
            <w:r/>
            <w:r>
              <w:rPr>
                <w:sz w:val="19"/>
              </w:rPr>
              <w:t>Phase 1 (trainee)</w:t>
            </w:r>
          </w:p>
        </w:tc>
      </w:tr>
      <w:tr>
        <w:tc>
          <w:tcPr>
            <w:tcW w:type="dxa" w:w="2948"/>
            <w:shd w:val="clear" w:color="auto" w:fill="FAF5F1"/>
          </w:tcPr>
          <w:p>
            <w:r/>
            <w:r>
              <w:rPr>
                <w:sz w:val="19"/>
              </w:rPr>
              <w:t>Community liaison / oral historian</w:t>
            </w:r>
          </w:p>
        </w:tc>
        <w:tc>
          <w:tcPr>
            <w:tcW w:type="dxa" w:w="4195"/>
            <w:shd w:val="clear" w:color="auto" w:fill="FAF5F1"/>
          </w:tcPr>
          <w:p>
            <w:r/>
            <w:r>
              <w:rPr>
                <w:sz w:val="19"/>
              </w:rPr>
              <w:t>Work with elders and custodians; manage consent</w:t>
            </w:r>
          </w:p>
        </w:tc>
        <w:tc>
          <w:tcPr>
            <w:tcW w:type="dxa" w:w="2154"/>
            <w:shd w:val="clear" w:color="auto" w:fill="FAF5F1"/>
          </w:tcPr>
          <w:p>
            <w:r/>
            <w:r>
              <w:rPr>
                <w:sz w:val="19"/>
              </w:rPr>
              <w:t>Phase 1 (trainee or HL nominee)</w:t>
            </w:r>
          </w:p>
        </w:tc>
      </w:tr>
      <w:tr>
        <w:tc>
          <w:tcPr>
            <w:tcW w:type="dxa" w:w="2948"/>
          </w:tcPr>
          <w:p>
            <w:r/>
            <w:r>
              <w:rPr>
                <w:sz w:val="19"/>
              </w:rPr>
              <w:t>Unity / XR developer</w:t>
            </w:r>
          </w:p>
        </w:tc>
        <w:tc>
          <w:tcPr>
            <w:tcW w:type="dxa" w:w="4195"/>
          </w:tcPr>
          <w:p>
            <w:r/>
            <w:r>
              <w:rPr>
                <w:sz w:val="19"/>
              </w:rPr>
              <w:t>Build VR tours, games, and kiosks</w:t>
            </w:r>
          </w:p>
        </w:tc>
        <w:tc>
          <w:tcPr>
            <w:tcW w:type="dxa" w:w="2154"/>
          </w:tcPr>
          <w:p>
            <w:r/>
            <w:r>
              <w:rPr>
                <w:sz w:val="19"/>
              </w:rPr>
              <w:t>Phase 2</w:t>
            </w:r>
          </w:p>
        </w:tc>
      </w:tr>
      <w:tr>
        <w:tc>
          <w:tcPr>
            <w:tcW w:type="dxa" w:w="2948"/>
            <w:shd w:val="clear" w:color="auto" w:fill="FAF5F1"/>
          </w:tcPr>
          <w:p>
            <w:r/>
            <w:r>
              <w:rPr>
                <w:sz w:val="19"/>
              </w:rPr>
              <w:t>AI / data engineer</w:t>
            </w:r>
          </w:p>
        </w:tc>
        <w:tc>
          <w:tcPr>
            <w:tcW w:type="dxa" w:w="4195"/>
            <w:shd w:val="clear" w:color="auto" w:fill="FAF5F1"/>
          </w:tcPr>
          <w:p>
            <w:r/>
            <w:r>
              <w:rPr>
                <w:sz w:val="19"/>
              </w:rPr>
              <w:t>AI guides and Liberian language work with LLM Liberia</w:t>
            </w:r>
          </w:p>
        </w:tc>
        <w:tc>
          <w:tcPr>
            <w:tcW w:type="dxa" w:w="2154"/>
            <w:shd w:val="clear" w:color="auto" w:fill="FAF5F1"/>
          </w:tcPr>
          <w:p>
            <w:r/>
            <w:r>
              <w:rPr>
                <w:sz w:val="19"/>
              </w:rPr>
              <w:t>Phase 2</w:t>
            </w:r>
          </w:p>
        </w:tc>
      </w:tr>
      <w:tr>
        <w:tc>
          <w:tcPr>
            <w:tcW w:type="dxa" w:w="2948"/>
          </w:tcPr>
          <w:p>
            <w:r/>
            <w:r>
              <w:rPr>
                <w:sz w:val="19"/>
              </w:rPr>
              <w:t>Educator / content writer</w:t>
            </w:r>
          </w:p>
        </w:tc>
        <w:tc>
          <w:tcPr>
            <w:tcW w:type="dxa" w:w="4195"/>
          </w:tcPr>
          <w:p>
            <w:r/>
            <w:r>
              <w:rPr>
                <w:sz w:val="19"/>
              </w:rPr>
              <w:t>School packs and accessible storytelling</w:t>
            </w:r>
          </w:p>
        </w:tc>
        <w:tc>
          <w:tcPr>
            <w:tcW w:type="dxa" w:w="2154"/>
          </w:tcPr>
          <w:p>
            <w:r/>
            <w:r>
              <w:rPr>
                <w:sz w:val="19"/>
              </w:rPr>
              <w:t>Phase 2</w:t>
            </w:r>
          </w:p>
        </w:tc>
      </w:tr>
      <w:tr>
        <w:tc>
          <w:tcPr>
            <w:tcW w:type="dxa" w:w="2948"/>
            <w:shd w:val="clear" w:color="auto" w:fill="FAF5F1"/>
          </w:tcPr>
          <w:p>
            <w:r/>
            <w:r>
              <w:rPr>
                <w:sz w:val="19"/>
              </w:rPr>
              <w:t>Marketing &amp; tourism coordinator</w:t>
            </w:r>
          </w:p>
        </w:tc>
        <w:tc>
          <w:tcPr>
            <w:tcW w:type="dxa" w:w="4195"/>
            <w:shd w:val="clear" w:color="auto" w:fill="FAF5F1"/>
          </w:tcPr>
          <w:p>
            <w:r/>
            <w:r>
              <w:rPr>
                <w:sz w:val="19"/>
              </w:rPr>
              <w:t>Campaigns, partners, and visitor sales</w:t>
            </w:r>
          </w:p>
        </w:tc>
        <w:tc>
          <w:tcPr>
            <w:tcW w:type="dxa" w:w="2154"/>
            <w:shd w:val="clear" w:color="auto" w:fill="FAF5F1"/>
          </w:tcPr>
          <w:p>
            <w:r/>
            <w:r>
              <w:rPr>
                <w:sz w:val="19"/>
              </w:rPr>
              <w:t>Phase 3</w:t>
            </w:r>
          </w:p>
        </w:tc>
      </w:tr>
    </w:tbl>
    <w:p>
      <w:pPr>
        <w:spacing w:after="40"/>
      </w:pPr>
    </w:p>
    <w:p>
      <w:r>
        <w:rPr>
          <w:i/>
        </w:rPr>
        <w:t>HL is invited to nominate youth and women from its programmes for trainee places, in line with its Women &amp; Youth Empowerment work.</w:t>
      </w: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DRAFT MOU — HUIX-2099 × Heritage Liberia — Virtual Past Liberia — For discussion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