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AE5A" w14:textId="6D6C8D03" w:rsidR="00E35A3B" w:rsidRDefault="00090882" w:rsidP="00090882">
      <w:pPr>
        <w:jc w:val="center"/>
        <w:rPr>
          <w:rFonts w:ascii="Calibri" w:hAnsi="Calibri" w:cs="Calibri"/>
          <w:b/>
          <w:bCs/>
          <w:color w:val="002060"/>
          <w:sz w:val="48"/>
          <w:szCs w:val="48"/>
        </w:rPr>
      </w:pPr>
      <w:r w:rsidRPr="00090882">
        <w:rPr>
          <w:rFonts w:ascii="Calibri" w:hAnsi="Calibri" w:cs="Calibri"/>
          <w:b/>
          <w:bCs/>
          <w:color w:val="002060"/>
          <w:sz w:val="48"/>
          <w:szCs w:val="48"/>
        </w:rPr>
        <w:t>Requirements Gathering</w:t>
      </w:r>
    </w:p>
    <w:p w14:paraId="27D4729F" w14:textId="77777777" w:rsidR="00090882" w:rsidRDefault="00090882" w:rsidP="00090882">
      <w:pPr>
        <w:rPr>
          <w:rFonts w:ascii="Calibri" w:hAnsi="Calibri" w:cs="Calibri"/>
          <w:b/>
          <w:bCs/>
          <w:sz w:val="32"/>
          <w:szCs w:val="32"/>
        </w:rPr>
      </w:pPr>
      <w:r w:rsidRPr="00792F3F">
        <w:rPr>
          <w:rFonts w:ascii="Calibri" w:hAnsi="Calibri" w:cs="Calibri"/>
          <w:b/>
          <w:bCs/>
          <w:sz w:val="32"/>
          <w:szCs w:val="32"/>
        </w:rPr>
        <w:t xml:space="preserve">Project Name: VitalSync Healthcare Dashboard </w:t>
      </w:r>
    </w:p>
    <w:p w14:paraId="1C3DF716" w14:textId="77777777" w:rsidR="00090882" w:rsidRDefault="00090882" w:rsidP="00090882">
      <w:pPr>
        <w:rPr>
          <w:rFonts w:ascii="Calibri" w:hAnsi="Calibri" w:cs="Calibri"/>
          <w:b/>
          <w:bCs/>
          <w:sz w:val="32"/>
          <w:szCs w:val="32"/>
        </w:rPr>
      </w:pPr>
      <w:r w:rsidRPr="00792F3F">
        <w:rPr>
          <w:rFonts w:ascii="Calibri" w:hAnsi="Calibri" w:cs="Calibri"/>
          <w:b/>
          <w:bCs/>
          <w:sz w:val="32"/>
          <w:szCs w:val="32"/>
        </w:rPr>
        <w:t>Team Members:</w:t>
      </w:r>
    </w:p>
    <w:p w14:paraId="103CB8BF" w14:textId="77777777" w:rsidR="00090882" w:rsidRPr="00792F3F" w:rsidRDefault="00090882" w:rsidP="00090882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>1. Ahmed Amr Saad ElBatrawy</w:t>
      </w:r>
    </w:p>
    <w:p w14:paraId="0488423E" w14:textId="77777777" w:rsidR="00090882" w:rsidRPr="00792F3F" w:rsidRDefault="00090882" w:rsidP="00090882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 xml:space="preserve">2. Mahmoud Ismail Kamal Desouki </w:t>
      </w:r>
      <w:r>
        <w:rPr>
          <w:rFonts w:ascii="Calibri" w:hAnsi="Calibri" w:cs="Calibri"/>
          <w:b/>
          <w:bCs/>
          <w:sz w:val="22"/>
          <w:szCs w:val="22"/>
        </w:rPr>
        <w:t>L</w:t>
      </w:r>
      <w:r w:rsidRPr="00792F3F">
        <w:rPr>
          <w:rFonts w:ascii="Calibri" w:hAnsi="Calibri" w:cs="Calibri"/>
          <w:b/>
          <w:bCs/>
          <w:sz w:val="22"/>
          <w:szCs w:val="22"/>
        </w:rPr>
        <w:t>oqman</w:t>
      </w:r>
    </w:p>
    <w:p w14:paraId="7A62099B" w14:textId="77777777" w:rsidR="00090882" w:rsidRPr="00792F3F" w:rsidRDefault="00090882" w:rsidP="00090882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>3. Nouran Badr Sayed Farrag</w:t>
      </w:r>
    </w:p>
    <w:p w14:paraId="1E176B48" w14:textId="77777777" w:rsidR="00090882" w:rsidRPr="00792F3F" w:rsidRDefault="00090882" w:rsidP="00090882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>4. Ayman Abdelmonem Ismail Eltanany</w:t>
      </w:r>
    </w:p>
    <w:p w14:paraId="037B7942" w14:textId="77777777" w:rsidR="00090882" w:rsidRDefault="00090882" w:rsidP="00090882">
      <w:pPr>
        <w:rPr>
          <w:rFonts w:ascii="Calibri" w:hAnsi="Calibri" w:cs="Calibri"/>
          <w:b/>
          <w:bCs/>
          <w:sz w:val="22"/>
          <w:szCs w:val="22"/>
        </w:rPr>
      </w:pPr>
      <w:r w:rsidRPr="00792F3F">
        <w:rPr>
          <w:rFonts w:ascii="Calibri" w:hAnsi="Calibri" w:cs="Calibri"/>
          <w:b/>
          <w:bCs/>
          <w:sz w:val="22"/>
          <w:szCs w:val="22"/>
        </w:rPr>
        <w:t xml:space="preserve">5. Mostafa </w:t>
      </w:r>
      <w:r>
        <w:rPr>
          <w:rFonts w:ascii="Calibri" w:hAnsi="Calibri" w:cs="Calibri"/>
          <w:b/>
          <w:bCs/>
          <w:sz w:val="22"/>
          <w:szCs w:val="22"/>
        </w:rPr>
        <w:t>A</w:t>
      </w:r>
      <w:r w:rsidRPr="00792F3F">
        <w:rPr>
          <w:rFonts w:ascii="Calibri" w:hAnsi="Calibri" w:cs="Calibri"/>
          <w:b/>
          <w:bCs/>
          <w:sz w:val="22"/>
          <w:szCs w:val="22"/>
        </w:rPr>
        <w:t xml:space="preserve">yman </w:t>
      </w:r>
      <w:r>
        <w:rPr>
          <w:rFonts w:ascii="Calibri" w:hAnsi="Calibri" w:cs="Calibri"/>
          <w:b/>
          <w:bCs/>
          <w:sz w:val="22"/>
          <w:szCs w:val="22"/>
        </w:rPr>
        <w:t>A</w:t>
      </w:r>
      <w:r w:rsidRPr="00792F3F">
        <w:rPr>
          <w:rFonts w:ascii="Calibri" w:hAnsi="Calibri" w:cs="Calibri"/>
          <w:b/>
          <w:bCs/>
          <w:sz w:val="22"/>
          <w:szCs w:val="22"/>
        </w:rPr>
        <w:t xml:space="preserve">bdelfatah 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792F3F">
        <w:rPr>
          <w:rFonts w:ascii="Calibri" w:hAnsi="Calibri" w:cs="Calibri"/>
          <w:b/>
          <w:bCs/>
          <w:sz w:val="22"/>
          <w:szCs w:val="22"/>
        </w:rPr>
        <w:t>assan</w:t>
      </w:r>
    </w:p>
    <w:p w14:paraId="1BB36F55" w14:textId="77777777" w:rsidR="00BC4248" w:rsidRDefault="00BC4248" w:rsidP="00090882">
      <w:pPr>
        <w:rPr>
          <w:rFonts w:ascii="Calibri" w:hAnsi="Calibri" w:cs="Calibri"/>
          <w:b/>
          <w:bCs/>
          <w:sz w:val="22"/>
          <w:szCs w:val="22"/>
        </w:rPr>
      </w:pPr>
    </w:p>
    <w:p w14:paraId="10C8DF93" w14:textId="13A7C0E9" w:rsidR="00090882" w:rsidRPr="00090882" w:rsidRDefault="00090882" w:rsidP="00090882">
      <w:pPr>
        <w:rPr>
          <w:rFonts w:ascii="Calibri" w:hAnsi="Calibri" w:cs="Calibri"/>
          <w:b/>
          <w:bCs/>
          <w:color w:val="002060"/>
          <w:sz w:val="32"/>
          <w:szCs w:val="32"/>
        </w:rPr>
      </w:pPr>
      <w:r w:rsidRPr="00090882">
        <w:rPr>
          <w:rFonts w:ascii="Calibri" w:hAnsi="Calibri" w:cs="Calibri"/>
          <w:b/>
          <w:bCs/>
          <w:color w:val="002060"/>
          <w:sz w:val="32"/>
          <w:szCs w:val="32"/>
        </w:rPr>
        <w:t>1. Stakeholder Analysis</w:t>
      </w:r>
    </w:p>
    <w:p w14:paraId="7C1A3F69" w14:textId="77777777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To ensure the analytics platform meets diverse operational needs, key stakeholders and their primary analytical requirements have been defined:</w:t>
      </w:r>
    </w:p>
    <w:p w14:paraId="53E933D8" w14:textId="7CBA0900" w:rsidR="00BC4248" w:rsidRPr="00BC4248" w:rsidRDefault="00090882" w:rsidP="0009088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0000" w:themeColor="text1"/>
          <w:sz w:val="32"/>
          <w:szCs w:val="32"/>
        </w:rPr>
        <w:t>Chief Medical Officer (CMO) / Medical Director:</w:t>
      </w:r>
    </w:p>
    <w:p w14:paraId="097F1F6B" w14:textId="09F6961B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C424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Requires </w:t>
      </w: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high-level executive summaries of population stroke risk and heart disease prevalence to allocate clinical resources and design preventive care programs.</w:t>
      </w:r>
    </w:p>
    <w:p w14:paraId="50E55AC0" w14:textId="3FD9725D" w:rsidR="00BC4248" w:rsidRPr="00BC4248" w:rsidRDefault="00090882" w:rsidP="0009088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0000" w:themeColor="text1"/>
          <w:sz w:val="32"/>
          <w:szCs w:val="32"/>
        </w:rPr>
        <w:t>Clinical Practitioners / Cardiologists:</w:t>
      </w:r>
    </w:p>
    <w:p w14:paraId="6CE51081" w14:textId="51089267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Need granular, patient-level filter capabilities to examine correlations between blood pressure, glucose levels, and daily stress factors for personalized treatment plans.</w:t>
      </w:r>
    </w:p>
    <w:p w14:paraId="5F57CAF6" w14:textId="772AC432" w:rsidR="00BC4248" w:rsidRPr="00BC4248" w:rsidRDefault="00090882" w:rsidP="0009088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0000" w:themeColor="text1"/>
          <w:sz w:val="32"/>
          <w:szCs w:val="32"/>
        </w:rPr>
        <w:t>Healthcare Operations Manager:</w:t>
      </w:r>
    </w:p>
    <w:p w14:paraId="2AB70D64" w14:textId="6806938F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Needs visibility into lifestyle compliance trends (sleep patterns and exercise frequency) to evaluate community wellness initiative outcomes.</w:t>
      </w:r>
    </w:p>
    <w:p w14:paraId="4B8977CA" w14:textId="77777777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5CE18260" w14:textId="77777777" w:rsidR="00BC4248" w:rsidRDefault="00BC4248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689929A8" w14:textId="77777777" w:rsidR="00BC4248" w:rsidRDefault="00BC4248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6B03522B" w14:textId="77777777" w:rsidR="00BC4248" w:rsidRDefault="00BC4248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850A031" w14:textId="77777777" w:rsidR="00BC4248" w:rsidRDefault="00BC4248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513CAF26" w14:textId="77777777" w:rsidR="00BC4248" w:rsidRDefault="00BC4248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581494D8" w14:textId="77777777" w:rsidR="00BC4248" w:rsidRDefault="00BC4248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725E040" w14:textId="34AB02B9" w:rsidR="00090882" w:rsidRPr="00BC4248" w:rsidRDefault="00090882" w:rsidP="00090882">
      <w:pPr>
        <w:rPr>
          <w:rFonts w:ascii="Calibri" w:hAnsi="Calibri" w:cs="Calibri"/>
          <w:b/>
          <w:bCs/>
          <w:color w:val="002060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2060"/>
          <w:sz w:val="32"/>
          <w:szCs w:val="32"/>
        </w:rPr>
        <w:lastRenderedPageBreak/>
        <w:t>2.</w:t>
      </w:r>
      <w:r w:rsidR="00BC4248">
        <w:rPr>
          <w:rFonts w:ascii="Calibri" w:hAnsi="Calibri" w:cs="Calibri"/>
          <w:b/>
          <w:bCs/>
          <w:color w:val="002060"/>
          <w:sz w:val="32"/>
          <w:szCs w:val="32"/>
        </w:rPr>
        <w:t xml:space="preserve"> </w:t>
      </w:r>
      <w:r w:rsidRPr="00BC4248">
        <w:rPr>
          <w:rFonts w:ascii="Calibri" w:hAnsi="Calibri" w:cs="Calibri"/>
          <w:b/>
          <w:bCs/>
          <w:color w:val="002060"/>
          <w:sz w:val="32"/>
          <w:szCs w:val="32"/>
        </w:rPr>
        <w:t>User Stories &amp; Use Cases</w:t>
      </w:r>
    </w:p>
    <w:p w14:paraId="3A0E1A7B" w14:textId="77777777" w:rsidR="00BC4248" w:rsidRPr="00BC4248" w:rsidRDefault="00090882" w:rsidP="0009088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0000" w:themeColor="text1"/>
          <w:sz w:val="32"/>
          <w:szCs w:val="32"/>
        </w:rPr>
        <w:t>User Story 1 (Clinical Director):</w:t>
      </w:r>
    </w:p>
    <w:p w14:paraId="1318E2A0" w14:textId="4A1AAB89" w:rsidR="00090882" w:rsidRPr="005B1802" w:rsidRDefault="00090882" w:rsidP="00090882">
      <w:pPr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"As a Medical Director, I want to filter cardiovascular risk metrics by patient age groups and demographics, so that I can identify high-risk populations for targeted early interventions."</w:t>
      </w:r>
    </w:p>
    <w:p w14:paraId="68A3DE09" w14:textId="25F6B937" w:rsidR="00BC4248" w:rsidRPr="00BC4248" w:rsidRDefault="00090882" w:rsidP="0009088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0000" w:themeColor="text1"/>
          <w:sz w:val="32"/>
          <w:szCs w:val="32"/>
        </w:rPr>
        <w:t>User Story 2 (Healthcare Analyst):</w:t>
      </w:r>
    </w:p>
    <w:p w14:paraId="3CBAD2C4" w14:textId="67FEA943" w:rsidR="00090882" w:rsidRPr="005B1802" w:rsidRDefault="00090882" w:rsidP="00090882">
      <w:pPr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"As a Healthcare Analyst, I want to compare patient stress scores against sleep duration metrics, so that I can determine </w:t>
      </w:r>
      <w:r w:rsidR="00BC4248" w:rsidRPr="005B1802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behavioural</w:t>
      </w:r>
      <w:r w:rsidRPr="005B1802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 impact on hypertension levels."</w:t>
      </w:r>
    </w:p>
    <w:p w14:paraId="2E2836AB" w14:textId="77777777" w:rsidR="00BC4248" w:rsidRDefault="00090882" w:rsidP="0009088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0000" w:themeColor="text1"/>
          <w:sz w:val="32"/>
          <w:szCs w:val="32"/>
        </w:rPr>
        <w:t>Use Case Example:</w:t>
      </w:r>
    </w:p>
    <w:p w14:paraId="191C1FD3" w14:textId="60280FE3" w:rsidR="00090882" w:rsidRPr="00BC4248" w:rsidRDefault="00090882" w:rsidP="0009088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Scenario: A physician opens the VitalSync Power BI dashboard, selects the "High Stroke Risk" filter slicer, and cross-</w:t>
      </w:r>
      <w:r w:rsidR="00BC4248"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analyses</w:t>
      </w: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patient stress levels with blood glucose readings to evaluate </w:t>
      </w:r>
      <w:r w:rsidR="00BC4248"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behavioural</w:t>
      </w: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risk triggers.</w:t>
      </w:r>
    </w:p>
    <w:p w14:paraId="50F074FF" w14:textId="77777777" w:rsidR="00BC4248" w:rsidRDefault="00BC4248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90CC7A3" w14:textId="767711BD" w:rsidR="00090882" w:rsidRPr="00BC4248" w:rsidRDefault="00090882" w:rsidP="00090882">
      <w:pPr>
        <w:rPr>
          <w:rFonts w:ascii="Calibri" w:hAnsi="Calibri" w:cs="Calibri"/>
          <w:b/>
          <w:bCs/>
          <w:color w:val="002060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2060"/>
          <w:sz w:val="32"/>
          <w:szCs w:val="32"/>
        </w:rPr>
        <w:t>3. Functional Requirements</w:t>
      </w:r>
    </w:p>
    <w:p w14:paraId="1FFAB895" w14:textId="77777777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The Power BI dashboard and ETL pipeline must execute the following functional operations:</w:t>
      </w:r>
    </w:p>
    <w:p w14:paraId="647BC8EB" w14:textId="6F145676" w:rsidR="00BC4248" w:rsidRPr="00BC4248" w:rsidRDefault="00090882" w:rsidP="0009088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C424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Multi-Dataset Integration: Unify clinical indicators (blood pressure, glucose, ECG) with </w:t>
      </w:r>
      <w:r w:rsidR="00BC4248" w:rsidRPr="00BC4248">
        <w:rPr>
          <w:rFonts w:ascii="Calibri" w:hAnsi="Calibri" w:cs="Calibri"/>
          <w:b/>
          <w:bCs/>
          <w:color w:val="000000" w:themeColor="text1"/>
          <w:sz w:val="22"/>
          <w:szCs w:val="22"/>
        </w:rPr>
        <w:t>behavioural</w:t>
      </w:r>
      <w:r w:rsidRPr="00BC424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survey data (sleep, stress, activity) into a cohesive Star Schema model.</w:t>
      </w:r>
    </w:p>
    <w:p w14:paraId="2A4E580A" w14:textId="2B8B115E" w:rsidR="00BC4248" w:rsidRPr="00BC4248" w:rsidRDefault="00090882" w:rsidP="0009088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C4248">
        <w:rPr>
          <w:rFonts w:ascii="Calibri" w:hAnsi="Calibri" w:cs="Calibri"/>
          <w:b/>
          <w:bCs/>
          <w:color w:val="000000" w:themeColor="text1"/>
          <w:sz w:val="22"/>
          <w:szCs w:val="22"/>
        </w:rPr>
        <w:t>Dynamic Filtering &amp; Slicing: Provide intuitive slicers for Age Group, Risk Level, Gender, and Lifestyle Compliance Metrics across all report pages.</w:t>
      </w:r>
    </w:p>
    <w:p w14:paraId="41BE0140" w14:textId="6F0DE7B3" w:rsidR="00BC4248" w:rsidRPr="00BC4248" w:rsidRDefault="00090882" w:rsidP="0009088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C4248">
        <w:rPr>
          <w:rFonts w:ascii="Calibri" w:hAnsi="Calibri" w:cs="Calibri"/>
          <w:b/>
          <w:bCs/>
          <w:color w:val="000000" w:themeColor="text1"/>
          <w:sz w:val="22"/>
          <w:szCs w:val="22"/>
        </w:rPr>
        <w:t>Interactive KPI Displays: Render core health KPIs (Stroke Prevalence, Heart Disease Rate, Average Daily Sleep) using prominent visual cards.</w:t>
      </w:r>
    </w:p>
    <w:p w14:paraId="3EC02ADE" w14:textId="7C43C049" w:rsidR="00090882" w:rsidRPr="00BC4248" w:rsidRDefault="00090882" w:rsidP="00BC424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C4248">
        <w:rPr>
          <w:rFonts w:ascii="Calibri" w:hAnsi="Calibri" w:cs="Calibri"/>
          <w:b/>
          <w:bCs/>
          <w:color w:val="000000" w:themeColor="text1"/>
          <w:sz w:val="22"/>
          <w:szCs w:val="22"/>
        </w:rPr>
        <w:t>Comparative Visual Analytics: Display trend lines and scatter plots illustrating correlations between sleep hygiene, physical activity, and cardiovascular deterioration.</w:t>
      </w:r>
    </w:p>
    <w:p w14:paraId="6D396ECC" w14:textId="77777777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F5C7461" w14:textId="77777777" w:rsidR="00090882" w:rsidRPr="00BC4248" w:rsidRDefault="00090882" w:rsidP="00090882">
      <w:pPr>
        <w:rPr>
          <w:rFonts w:ascii="Calibri" w:hAnsi="Calibri" w:cs="Calibri"/>
          <w:b/>
          <w:bCs/>
          <w:color w:val="002060"/>
          <w:sz w:val="32"/>
          <w:szCs w:val="32"/>
        </w:rPr>
      </w:pPr>
      <w:r w:rsidRPr="00BC4248">
        <w:rPr>
          <w:rFonts w:ascii="Calibri" w:hAnsi="Calibri" w:cs="Calibri"/>
          <w:b/>
          <w:bCs/>
          <w:color w:val="002060"/>
          <w:sz w:val="32"/>
          <w:szCs w:val="32"/>
        </w:rPr>
        <w:t>4. Non-functional Requirements</w:t>
      </w:r>
    </w:p>
    <w:p w14:paraId="4865791E" w14:textId="14F9A2E1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To guarantee report quality, performance, and usability:</w:t>
      </w:r>
    </w:p>
    <w:p w14:paraId="7E3EFB8D" w14:textId="26E0B12C" w:rsidR="005B1802" w:rsidRPr="005B1802" w:rsidRDefault="00090882" w:rsidP="0009088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Data Accuracy &amp; Integrity: All calculated measures and DAX KPIs must strictly match raw baseline metrics processed in Power Query.</w:t>
      </w:r>
    </w:p>
    <w:p w14:paraId="6C30CBA6" w14:textId="22C9EB3A" w:rsidR="005B1802" w:rsidRPr="005B1802" w:rsidRDefault="00090882" w:rsidP="0009088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Usability &amp; Accessibility: The dashboard layout must follow an intuitive hierarchy, using color-coded risk scales (Green/Yellow/Red) for rapid visual interpretation.</w:t>
      </w:r>
    </w:p>
    <w:p w14:paraId="7ED5C0EB" w14:textId="6952A1D9" w:rsidR="005B1802" w:rsidRPr="005B1802" w:rsidRDefault="00090882" w:rsidP="0009088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Performance &amp; Response Time: Visuals, dynamic slicers, and filtering interactions must refresh smoothly without noticeable rendering delays.</w:t>
      </w:r>
    </w:p>
    <w:p w14:paraId="377A18E8" w14:textId="77777777" w:rsidR="005B1802" w:rsidRDefault="00090882" w:rsidP="0009088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Data Privacy &amp; Anonymization: All patient records must remain completely anonymized without personally identifiable information (PII).</w:t>
      </w:r>
    </w:p>
    <w:p w14:paraId="27A03259" w14:textId="77777777" w:rsidR="005B1802" w:rsidRDefault="005B1802" w:rsidP="005B1802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FF32348" w14:textId="621A579E" w:rsidR="00090882" w:rsidRPr="005B1802" w:rsidRDefault="00090882" w:rsidP="005B180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2060"/>
          <w:sz w:val="32"/>
          <w:szCs w:val="32"/>
        </w:rPr>
        <w:lastRenderedPageBreak/>
        <w:t>5. Business Questions</w:t>
      </w:r>
    </w:p>
    <w:p w14:paraId="2674146F" w14:textId="77777777" w:rsidR="00090882" w:rsidRPr="00090882" w:rsidRDefault="00090882" w:rsidP="0009088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90882">
        <w:rPr>
          <w:rFonts w:ascii="Calibri" w:hAnsi="Calibri" w:cs="Calibri"/>
          <w:b/>
          <w:bCs/>
          <w:color w:val="000000" w:themeColor="text1"/>
          <w:sz w:val="22"/>
          <w:szCs w:val="22"/>
        </w:rPr>
        <w:t>To evaluate health patterns and clinical metrics effectively, the dashboard provides answers to the following 7 core analytical questions:</w:t>
      </w:r>
    </w:p>
    <w:p w14:paraId="234CF1A0" w14:textId="0036C025" w:rsidR="00090882" w:rsidRPr="005B1802" w:rsidRDefault="00090882" w:rsidP="005B180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What is the overall stroke risk prevalence across different patient age brackets?</w:t>
      </w:r>
    </w:p>
    <w:p w14:paraId="59DE4158" w14:textId="1F0BFB19" w:rsidR="00090882" w:rsidRPr="005B1802" w:rsidRDefault="00090882" w:rsidP="005B180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How strongly does chronic sleep deprivation correlate with elevated blood glucose levels and hypertension?</w:t>
      </w:r>
    </w:p>
    <w:p w14:paraId="3E7DABFA" w14:textId="3E4CD774" w:rsidR="00090882" w:rsidRPr="005B1802" w:rsidRDefault="00090882" w:rsidP="005B180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Which patient demographic segment exhibits the highest rate of heart disease risk factors?</w:t>
      </w:r>
    </w:p>
    <w:p w14:paraId="763B7BF2" w14:textId="1B4C4A76" w:rsidR="00090882" w:rsidRPr="005B1802" w:rsidRDefault="00090882" w:rsidP="005B180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What impact does high daily stress (Score 8–10) have on patient cardiovascular health indicators?</w:t>
      </w:r>
    </w:p>
    <w:p w14:paraId="630EE2DB" w14:textId="379EF9B6" w:rsidR="00090882" w:rsidRPr="005B1802" w:rsidRDefault="00090882" w:rsidP="005B180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What percentage of monitored patients successfully meet minimum daily physical activity targets?</w:t>
      </w:r>
    </w:p>
    <w:p w14:paraId="4D21D3C9" w14:textId="5B7633FD" w:rsidR="00090882" w:rsidRPr="005B1802" w:rsidRDefault="00090882" w:rsidP="005B180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How do lifestyle factors (screen time and stress) differ between high-risk and low-risk stroke categories?</w:t>
      </w:r>
    </w:p>
    <w:p w14:paraId="244ACD7C" w14:textId="0A0D7B25" w:rsidR="00090882" w:rsidRPr="005B1802" w:rsidRDefault="00090882" w:rsidP="005B180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Which specific combination of clinical and </w:t>
      </w:r>
      <w:r w:rsidR="005B1802"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>behavioural</w:t>
      </w:r>
      <w:r w:rsidRPr="005B180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metrics serves as the strongest early warning signal for cardiac events?</w:t>
      </w:r>
    </w:p>
    <w:sectPr w:rsidR="00090882" w:rsidRPr="005B18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ADF"/>
    <w:multiLevelType w:val="hybridMultilevel"/>
    <w:tmpl w:val="C234D2A4"/>
    <w:lvl w:ilvl="0" w:tplc="ADC019E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41FCF"/>
    <w:multiLevelType w:val="hybridMultilevel"/>
    <w:tmpl w:val="7B4CB6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A11CA"/>
    <w:multiLevelType w:val="hybridMultilevel"/>
    <w:tmpl w:val="2DF8F102"/>
    <w:lvl w:ilvl="0" w:tplc="62780A4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30963"/>
    <w:multiLevelType w:val="hybridMultilevel"/>
    <w:tmpl w:val="1AF4823C"/>
    <w:lvl w:ilvl="0" w:tplc="62780A4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68589">
    <w:abstractNumId w:val="0"/>
  </w:num>
  <w:num w:numId="2" w16cid:durableId="535972059">
    <w:abstractNumId w:val="3"/>
  </w:num>
  <w:num w:numId="3" w16cid:durableId="579874813">
    <w:abstractNumId w:val="2"/>
  </w:num>
  <w:num w:numId="4" w16cid:durableId="1523744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82"/>
    <w:rsid w:val="00090882"/>
    <w:rsid w:val="005B1802"/>
    <w:rsid w:val="007853F8"/>
    <w:rsid w:val="009D24E9"/>
    <w:rsid w:val="00BC4248"/>
    <w:rsid w:val="00E3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E135"/>
  <w15:chartTrackingRefBased/>
  <w15:docId w15:val="{6A86BECC-A7E5-472F-AACA-508F3168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Wilson</dc:creator>
  <cp:keywords/>
  <dc:description/>
  <cp:lastModifiedBy>Charles Wilson</cp:lastModifiedBy>
  <cp:revision>1</cp:revision>
  <dcterms:created xsi:type="dcterms:W3CDTF">2026-10-15T00:14:00Z</dcterms:created>
  <dcterms:modified xsi:type="dcterms:W3CDTF">2026-10-15T00:38:00Z</dcterms:modified>
</cp:coreProperties>
</file>