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220F6" w14:textId="120ACAC8" w:rsidR="00E35A3B" w:rsidRDefault="00E60212" w:rsidP="00E60212">
      <w:pPr>
        <w:jc w:val="center"/>
        <w:rPr>
          <w:rFonts w:ascii="Calibri" w:hAnsi="Calibri" w:cs="Calibri"/>
          <w:b/>
          <w:bCs/>
          <w:color w:val="002060"/>
          <w:sz w:val="48"/>
          <w:szCs w:val="48"/>
        </w:rPr>
      </w:pPr>
      <w:r w:rsidRPr="00E60212">
        <w:rPr>
          <w:rFonts w:ascii="Calibri" w:hAnsi="Calibri" w:cs="Calibri"/>
          <w:b/>
          <w:bCs/>
          <w:color w:val="002060"/>
          <w:sz w:val="48"/>
          <w:szCs w:val="48"/>
        </w:rPr>
        <w:t>Literature Review</w:t>
      </w:r>
    </w:p>
    <w:p w14:paraId="618D18FB" w14:textId="77777777" w:rsidR="008D19F7" w:rsidRDefault="008D19F7" w:rsidP="008D19F7">
      <w:pPr>
        <w:rPr>
          <w:rFonts w:ascii="Calibri" w:hAnsi="Calibri" w:cs="Calibri"/>
          <w:b/>
          <w:bCs/>
          <w:sz w:val="32"/>
          <w:szCs w:val="32"/>
        </w:rPr>
      </w:pPr>
      <w:r w:rsidRPr="00792F3F">
        <w:rPr>
          <w:rFonts w:ascii="Calibri" w:hAnsi="Calibri" w:cs="Calibri"/>
          <w:b/>
          <w:bCs/>
          <w:sz w:val="32"/>
          <w:szCs w:val="32"/>
        </w:rPr>
        <w:t xml:space="preserve">Project Name: VitalSync Healthcare Dashboard </w:t>
      </w:r>
    </w:p>
    <w:p w14:paraId="7D043FF4" w14:textId="77777777" w:rsidR="008D19F7" w:rsidRDefault="008D19F7" w:rsidP="008D19F7">
      <w:pPr>
        <w:rPr>
          <w:rFonts w:ascii="Calibri" w:hAnsi="Calibri" w:cs="Calibri"/>
          <w:b/>
          <w:bCs/>
          <w:sz w:val="32"/>
          <w:szCs w:val="32"/>
        </w:rPr>
      </w:pPr>
      <w:r w:rsidRPr="00792F3F">
        <w:rPr>
          <w:rFonts w:ascii="Calibri" w:hAnsi="Calibri" w:cs="Calibri"/>
          <w:b/>
          <w:bCs/>
          <w:sz w:val="32"/>
          <w:szCs w:val="32"/>
        </w:rPr>
        <w:t>Team Members:</w:t>
      </w:r>
    </w:p>
    <w:p w14:paraId="27166DA0" w14:textId="77777777" w:rsidR="008D19F7" w:rsidRPr="00792F3F" w:rsidRDefault="008D19F7" w:rsidP="008D19F7">
      <w:pPr>
        <w:rPr>
          <w:rFonts w:ascii="Calibri" w:hAnsi="Calibri" w:cs="Calibri"/>
          <w:b/>
          <w:bCs/>
          <w:sz w:val="22"/>
          <w:szCs w:val="22"/>
        </w:rPr>
      </w:pPr>
      <w:r w:rsidRPr="00792F3F">
        <w:rPr>
          <w:rFonts w:ascii="Calibri" w:hAnsi="Calibri" w:cs="Calibri"/>
          <w:b/>
          <w:bCs/>
          <w:sz w:val="22"/>
          <w:szCs w:val="22"/>
        </w:rPr>
        <w:t>1. Ahmed Amr Saad ElBatrawy</w:t>
      </w:r>
    </w:p>
    <w:p w14:paraId="227861E0" w14:textId="77777777" w:rsidR="008D19F7" w:rsidRPr="00792F3F" w:rsidRDefault="008D19F7" w:rsidP="008D19F7">
      <w:pPr>
        <w:rPr>
          <w:rFonts w:ascii="Calibri" w:hAnsi="Calibri" w:cs="Calibri"/>
          <w:b/>
          <w:bCs/>
          <w:sz w:val="22"/>
          <w:szCs w:val="22"/>
        </w:rPr>
      </w:pPr>
      <w:r w:rsidRPr="00792F3F">
        <w:rPr>
          <w:rFonts w:ascii="Calibri" w:hAnsi="Calibri" w:cs="Calibri"/>
          <w:b/>
          <w:bCs/>
          <w:sz w:val="22"/>
          <w:szCs w:val="22"/>
        </w:rPr>
        <w:t xml:space="preserve">2. Mahmoud Ismail Kamal Desouki </w:t>
      </w:r>
      <w:r>
        <w:rPr>
          <w:rFonts w:ascii="Calibri" w:hAnsi="Calibri" w:cs="Calibri"/>
          <w:b/>
          <w:bCs/>
          <w:sz w:val="22"/>
          <w:szCs w:val="22"/>
        </w:rPr>
        <w:t>L</w:t>
      </w:r>
      <w:r w:rsidRPr="00792F3F">
        <w:rPr>
          <w:rFonts w:ascii="Calibri" w:hAnsi="Calibri" w:cs="Calibri"/>
          <w:b/>
          <w:bCs/>
          <w:sz w:val="22"/>
          <w:szCs w:val="22"/>
        </w:rPr>
        <w:t>oqman</w:t>
      </w:r>
    </w:p>
    <w:p w14:paraId="7F4FA48A" w14:textId="77777777" w:rsidR="008D19F7" w:rsidRPr="00792F3F" w:rsidRDefault="008D19F7" w:rsidP="008D19F7">
      <w:pPr>
        <w:rPr>
          <w:rFonts w:ascii="Calibri" w:hAnsi="Calibri" w:cs="Calibri"/>
          <w:b/>
          <w:bCs/>
          <w:sz w:val="22"/>
          <w:szCs w:val="22"/>
        </w:rPr>
      </w:pPr>
      <w:r w:rsidRPr="00792F3F">
        <w:rPr>
          <w:rFonts w:ascii="Calibri" w:hAnsi="Calibri" w:cs="Calibri"/>
          <w:b/>
          <w:bCs/>
          <w:sz w:val="22"/>
          <w:szCs w:val="22"/>
        </w:rPr>
        <w:t>3. Nouran Badr Sayed Farrag</w:t>
      </w:r>
    </w:p>
    <w:p w14:paraId="2D683DFE" w14:textId="77777777" w:rsidR="008D19F7" w:rsidRPr="00792F3F" w:rsidRDefault="008D19F7" w:rsidP="008D19F7">
      <w:pPr>
        <w:rPr>
          <w:rFonts w:ascii="Calibri" w:hAnsi="Calibri" w:cs="Calibri"/>
          <w:b/>
          <w:bCs/>
          <w:sz w:val="22"/>
          <w:szCs w:val="22"/>
        </w:rPr>
      </w:pPr>
      <w:r w:rsidRPr="00792F3F">
        <w:rPr>
          <w:rFonts w:ascii="Calibri" w:hAnsi="Calibri" w:cs="Calibri"/>
          <w:b/>
          <w:bCs/>
          <w:sz w:val="22"/>
          <w:szCs w:val="22"/>
        </w:rPr>
        <w:t>4. Ayman Abdelmonem Ismail Eltanany</w:t>
      </w:r>
    </w:p>
    <w:p w14:paraId="131EF67E" w14:textId="77777777" w:rsidR="008D19F7" w:rsidRDefault="008D19F7" w:rsidP="008D19F7">
      <w:pPr>
        <w:rPr>
          <w:rFonts w:ascii="Calibri" w:hAnsi="Calibri" w:cs="Calibri"/>
          <w:b/>
          <w:bCs/>
          <w:sz w:val="22"/>
          <w:szCs w:val="22"/>
        </w:rPr>
      </w:pPr>
      <w:r w:rsidRPr="00792F3F">
        <w:rPr>
          <w:rFonts w:ascii="Calibri" w:hAnsi="Calibri" w:cs="Calibri"/>
          <w:b/>
          <w:bCs/>
          <w:sz w:val="22"/>
          <w:szCs w:val="22"/>
        </w:rPr>
        <w:t xml:space="preserve">5. Mostafa </w:t>
      </w:r>
      <w:r>
        <w:rPr>
          <w:rFonts w:ascii="Calibri" w:hAnsi="Calibri" w:cs="Calibri"/>
          <w:b/>
          <w:bCs/>
          <w:sz w:val="22"/>
          <w:szCs w:val="22"/>
        </w:rPr>
        <w:t>A</w:t>
      </w:r>
      <w:r w:rsidRPr="00792F3F">
        <w:rPr>
          <w:rFonts w:ascii="Calibri" w:hAnsi="Calibri" w:cs="Calibri"/>
          <w:b/>
          <w:bCs/>
          <w:sz w:val="22"/>
          <w:szCs w:val="22"/>
        </w:rPr>
        <w:t xml:space="preserve">yman </w:t>
      </w:r>
      <w:r>
        <w:rPr>
          <w:rFonts w:ascii="Calibri" w:hAnsi="Calibri" w:cs="Calibri"/>
          <w:b/>
          <w:bCs/>
          <w:sz w:val="22"/>
          <w:szCs w:val="22"/>
        </w:rPr>
        <w:t>A</w:t>
      </w:r>
      <w:r w:rsidRPr="00792F3F">
        <w:rPr>
          <w:rFonts w:ascii="Calibri" w:hAnsi="Calibri" w:cs="Calibri"/>
          <w:b/>
          <w:bCs/>
          <w:sz w:val="22"/>
          <w:szCs w:val="22"/>
        </w:rPr>
        <w:t xml:space="preserve">bdelfatah </w:t>
      </w:r>
      <w:r>
        <w:rPr>
          <w:rFonts w:ascii="Calibri" w:hAnsi="Calibri" w:cs="Calibri"/>
          <w:b/>
          <w:bCs/>
          <w:sz w:val="22"/>
          <w:szCs w:val="22"/>
        </w:rPr>
        <w:t>H</w:t>
      </w:r>
      <w:r w:rsidRPr="00792F3F">
        <w:rPr>
          <w:rFonts w:ascii="Calibri" w:hAnsi="Calibri" w:cs="Calibri"/>
          <w:b/>
          <w:bCs/>
          <w:sz w:val="22"/>
          <w:szCs w:val="22"/>
        </w:rPr>
        <w:t>assan</w:t>
      </w:r>
    </w:p>
    <w:p w14:paraId="68E09484" w14:textId="77777777" w:rsidR="00784099" w:rsidRDefault="00784099" w:rsidP="008D19F7">
      <w:pPr>
        <w:rPr>
          <w:rFonts w:ascii="Calibri" w:hAnsi="Calibri" w:cs="Calibri"/>
          <w:b/>
          <w:bCs/>
          <w:sz w:val="22"/>
          <w:szCs w:val="22"/>
        </w:rPr>
      </w:pPr>
    </w:p>
    <w:p w14:paraId="646EF5C5" w14:textId="16CA433F" w:rsidR="00784099" w:rsidRPr="00784099" w:rsidRDefault="00784099" w:rsidP="008D19F7">
      <w:pPr>
        <w:rPr>
          <w:rFonts w:ascii="Calibri" w:hAnsi="Calibri" w:cs="Calibri"/>
          <w:b/>
          <w:bCs/>
          <w:sz w:val="32"/>
          <w:szCs w:val="32"/>
        </w:rPr>
      </w:pPr>
      <w:r w:rsidRPr="00784099">
        <w:rPr>
          <w:rFonts w:ascii="Calibri" w:hAnsi="Calibri" w:cs="Calibri"/>
          <w:b/>
          <w:bCs/>
          <w:sz w:val="32"/>
          <w:szCs w:val="32"/>
        </w:rPr>
        <w:t>Key Reference Sources &amp; Market Analysis</w:t>
      </w:r>
    </w:p>
    <w:p w14:paraId="025C1434" w14:textId="77777777" w:rsidR="008D19F7" w:rsidRDefault="008D19F7" w:rsidP="008D19F7">
      <w:pPr>
        <w:rPr>
          <w:rFonts w:ascii="Calibri" w:hAnsi="Calibri" w:cs="Calibri"/>
          <w:b/>
          <w:bCs/>
          <w:sz w:val="22"/>
          <w:szCs w:val="22"/>
        </w:rPr>
      </w:pPr>
      <w:r w:rsidRPr="008D19F7">
        <w:rPr>
          <w:rFonts w:ascii="Calibri" w:hAnsi="Calibri" w:cs="Calibri"/>
          <w:b/>
          <w:bCs/>
          <w:sz w:val="22"/>
          <w:szCs w:val="22"/>
        </w:rPr>
        <w:t>To establish a solid theoretical foundation and align our data metrics with established healthcare practices, three credible studies and reports related to cardiovascular risk prediction and lifestyle analytics have been reviewed.</w:t>
      </w:r>
    </w:p>
    <w:p w14:paraId="27DE2FF3" w14:textId="093C2725" w:rsidR="008D19F7" w:rsidRDefault="008D19F7" w:rsidP="008D19F7">
      <w:pPr>
        <w:rPr>
          <w:rFonts w:ascii="Calibri" w:hAnsi="Calibri" w:cs="Calibri"/>
          <w:b/>
          <w:bCs/>
          <w:sz w:val="22"/>
          <w:szCs w:val="22"/>
        </w:rPr>
      </w:pPr>
      <w:r w:rsidRPr="008D19F7">
        <w:rPr>
          <w:rFonts w:ascii="Calibri" w:hAnsi="Calibri" w:cs="Calibri"/>
          <w:b/>
          <w:bCs/>
          <w:sz w:val="22"/>
          <w:szCs w:val="22"/>
        </w:rPr>
        <w:t>Source 1: World Health Organization (WHO) – Cardiovascular Diseases (CVDs) Fact Sheets &amp; Risk Factors Report</w:t>
      </w:r>
      <w:r>
        <w:rPr>
          <w:rFonts w:ascii="Calibri" w:hAnsi="Calibri" w:cs="Calibri"/>
          <w:b/>
          <w:bCs/>
          <w:sz w:val="22"/>
          <w:szCs w:val="22"/>
        </w:rPr>
        <w:t>:</w:t>
      </w:r>
    </w:p>
    <w:p w14:paraId="04ECB3CF" w14:textId="77777777" w:rsidR="008D19F7" w:rsidRDefault="008D19F7" w:rsidP="008D19F7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2"/>
          <w:szCs w:val="22"/>
        </w:rPr>
      </w:pPr>
      <w:r w:rsidRPr="008D19F7">
        <w:rPr>
          <w:rFonts w:ascii="Calibri" w:hAnsi="Calibri" w:cs="Calibri"/>
          <w:b/>
          <w:bCs/>
          <w:sz w:val="22"/>
          <w:szCs w:val="22"/>
        </w:rPr>
        <w:t xml:space="preserve">Summary: Provides comprehensive global statistical insights into primary cardiovascular risk factors, emphasizing hypertension, blood glucose levels, and lifestyle behaviours as the leading precursors to strokes and heart attacks. </w:t>
      </w:r>
    </w:p>
    <w:p w14:paraId="5E30D826" w14:textId="30416156" w:rsidR="008D19F7" w:rsidRPr="008D19F7" w:rsidRDefault="008D19F7" w:rsidP="008D19F7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2"/>
          <w:szCs w:val="22"/>
        </w:rPr>
      </w:pPr>
      <w:r w:rsidRPr="008D19F7">
        <w:rPr>
          <w:rFonts w:ascii="Calibri" w:hAnsi="Calibri" w:cs="Calibri"/>
          <w:b/>
          <w:bCs/>
          <w:sz w:val="22"/>
          <w:szCs w:val="22"/>
        </w:rPr>
        <w:t>Project Application &amp; Takeaway: We adopted the core clinical metrics (blood pressure, glucose, and cholesterol thresholds) highlighted in this report to structure our initial data filtering and define high-risk patient segments in Power Query.</w:t>
      </w:r>
    </w:p>
    <w:p w14:paraId="3AB3BD8E" w14:textId="63B65CBA" w:rsidR="008D19F7" w:rsidRDefault="008D19F7" w:rsidP="008D19F7">
      <w:pPr>
        <w:rPr>
          <w:rFonts w:ascii="Calibri" w:hAnsi="Calibri" w:cs="Calibri"/>
          <w:b/>
          <w:bCs/>
          <w:sz w:val="22"/>
          <w:szCs w:val="22"/>
        </w:rPr>
      </w:pPr>
      <w:r w:rsidRPr="008D19F7">
        <w:rPr>
          <w:rFonts w:ascii="Calibri" w:hAnsi="Calibri" w:cs="Calibri"/>
          <w:b/>
          <w:bCs/>
          <w:sz w:val="22"/>
          <w:szCs w:val="22"/>
        </w:rPr>
        <w:t>Source 2: Clinical Predictive Analytics in Healthcare – Journal of Medical Internet Research (JMIR) Case Studies</w:t>
      </w:r>
      <w:r>
        <w:rPr>
          <w:rFonts w:ascii="Calibri" w:hAnsi="Calibri" w:cs="Calibri"/>
          <w:b/>
          <w:bCs/>
          <w:sz w:val="22"/>
          <w:szCs w:val="22"/>
        </w:rPr>
        <w:t>:</w:t>
      </w:r>
    </w:p>
    <w:p w14:paraId="192C68A2" w14:textId="6D0BC1E7" w:rsidR="008D19F7" w:rsidRPr="008D19F7" w:rsidRDefault="008D19F7" w:rsidP="008D19F7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2"/>
          <w:szCs w:val="22"/>
        </w:rPr>
      </w:pPr>
      <w:r w:rsidRPr="008D19F7">
        <w:rPr>
          <w:rFonts w:ascii="Calibri" w:hAnsi="Calibri" w:cs="Calibri"/>
          <w:b/>
          <w:bCs/>
          <w:sz w:val="22"/>
          <w:szCs w:val="22"/>
        </w:rPr>
        <w:t>Summary: Explores the integration of multi-modal health data, combining clinical lab results with</w:t>
      </w:r>
      <w:r w:rsidR="0089553B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8D19F7">
        <w:rPr>
          <w:rFonts w:ascii="Calibri" w:hAnsi="Calibri" w:cs="Calibri"/>
          <w:b/>
          <w:bCs/>
          <w:sz w:val="22"/>
          <w:szCs w:val="22"/>
        </w:rPr>
        <w:t>daily behavioural habits (such as sleep duration and stress levels) to improve early detection models for chronic diseases.</w:t>
      </w:r>
    </w:p>
    <w:p w14:paraId="54207ACB" w14:textId="3739DDB3" w:rsidR="008D19F7" w:rsidRPr="008D19F7" w:rsidRDefault="008D19F7" w:rsidP="008D19F7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2"/>
          <w:szCs w:val="22"/>
        </w:rPr>
      </w:pPr>
      <w:r w:rsidRPr="008D19F7">
        <w:rPr>
          <w:rFonts w:ascii="Calibri" w:hAnsi="Calibri" w:cs="Calibri"/>
          <w:b/>
          <w:bCs/>
          <w:sz w:val="22"/>
          <w:szCs w:val="22"/>
        </w:rPr>
        <w:t>Project Application &amp; Takeaway: This study directly inspired the multi-dataset integration approach in VitalSync, validating the necessity of combining structured clinical datasets with behavioural survey data to enhance predictive dashboard insights.</w:t>
      </w:r>
    </w:p>
    <w:p w14:paraId="33AF3636" w14:textId="77777777" w:rsidR="00784099" w:rsidRDefault="00784099" w:rsidP="008D19F7">
      <w:pPr>
        <w:rPr>
          <w:rFonts w:ascii="Calibri" w:hAnsi="Calibri" w:cs="Calibri"/>
          <w:b/>
          <w:bCs/>
          <w:sz w:val="22"/>
          <w:szCs w:val="22"/>
        </w:rPr>
      </w:pPr>
    </w:p>
    <w:p w14:paraId="46A4908A" w14:textId="77777777" w:rsidR="00784099" w:rsidRDefault="00784099" w:rsidP="008D19F7">
      <w:pPr>
        <w:rPr>
          <w:rFonts w:ascii="Calibri" w:hAnsi="Calibri" w:cs="Calibri"/>
          <w:b/>
          <w:bCs/>
          <w:sz w:val="22"/>
          <w:szCs w:val="22"/>
        </w:rPr>
      </w:pPr>
    </w:p>
    <w:p w14:paraId="54AD4B9D" w14:textId="77777777" w:rsidR="00784099" w:rsidRDefault="00784099" w:rsidP="008D19F7">
      <w:pPr>
        <w:rPr>
          <w:rFonts w:ascii="Calibri" w:hAnsi="Calibri" w:cs="Calibri"/>
          <w:b/>
          <w:bCs/>
          <w:sz w:val="22"/>
          <w:szCs w:val="22"/>
        </w:rPr>
      </w:pPr>
    </w:p>
    <w:p w14:paraId="1EAE10E7" w14:textId="3249CF95" w:rsidR="008D19F7" w:rsidRDefault="008D19F7" w:rsidP="008D19F7">
      <w:pPr>
        <w:rPr>
          <w:rFonts w:ascii="Calibri" w:hAnsi="Calibri" w:cs="Calibri"/>
          <w:b/>
          <w:bCs/>
          <w:sz w:val="22"/>
          <w:szCs w:val="22"/>
        </w:rPr>
      </w:pPr>
      <w:r w:rsidRPr="008D19F7">
        <w:rPr>
          <w:rFonts w:ascii="Calibri" w:hAnsi="Calibri" w:cs="Calibri"/>
          <w:b/>
          <w:bCs/>
          <w:sz w:val="22"/>
          <w:szCs w:val="22"/>
        </w:rPr>
        <w:lastRenderedPageBreak/>
        <w:t>Source 3: Behavioural Health &amp; Lifestyle Impact Studies – American Heart Association (AHA) Guidelines</w:t>
      </w:r>
      <w:r>
        <w:rPr>
          <w:rFonts w:ascii="Calibri" w:hAnsi="Calibri" w:cs="Calibri"/>
          <w:b/>
          <w:bCs/>
          <w:sz w:val="22"/>
          <w:szCs w:val="22"/>
        </w:rPr>
        <w:t>:</w:t>
      </w:r>
    </w:p>
    <w:p w14:paraId="13FE0239" w14:textId="12A813FC" w:rsidR="008D19F7" w:rsidRDefault="008D19F7" w:rsidP="008D19F7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2"/>
          <w:szCs w:val="22"/>
        </w:rPr>
      </w:pPr>
      <w:r w:rsidRPr="008D19F7">
        <w:rPr>
          <w:rFonts w:ascii="Calibri" w:hAnsi="Calibri" w:cs="Calibri"/>
          <w:b/>
          <w:bCs/>
          <w:sz w:val="22"/>
          <w:szCs w:val="22"/>
        </w:rPr>
        <w:t>Summary: Analyses the statistical correlations between sedentary lifestyles, chronic sleep deprivation, elevated stress scores, and long-term cardiovascular deterioration.</w:t>
      </w:r>
    </w:p>
    <w:p w14:paraId="357461A5" w14:textId="6DA23EAC" w:rsidR="008D19F7" w:rsidRPr="008D19F7" w:rsidRDefault="008D19F7" w:rsidP="008D19F7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2"/>
          <w:szCs w:val="22"/>
        </w:rPr>
      </w:pPr>
      <w:r w:rsidRPr="008D19F7">
        <w:rPr>
          <w:rFonts w:ascii="Calibri" w:hAnsi="Calibri" w:cs="Calibri"/>
          <w:b/>
          <w:bCs/>
          <w:sz w:val="22"/>
          <w:szCs w:val="22"/>
        </w:rPr>
        <w:t>Project Application &amp; Takeaway: We utilized the behavioural evaluation parameters from these guidelines to design our lifestyle KPIs (e.g., Average Daily Sleep Duration and Physical Activity Compliance Rate) within our Power BI analytics framework.</w:t>
      </w:r>
    </w:p>
    <w:p w14:paraId="0165D67A" w14:textId="3C04092B" w:rsidR="008D19F7" w:rsidRDefault="008D19F7" w:rsidP="008D19F7">
      <w:pPr>
        <w:rPr>
          <w:rFonts w:ascii="Calibri" w:hAnsi="Calibri" w:cs="Calibri"/>
          <w:b/>
          <w:bCs/>
          <w:sz w:val="22"/>
          <w:szCs w:val="22"/>
        </w:rPr>
      </w:pPr>
      <w:r w:rsidRPr="008D19F7">
        <w:rPr>
          <w:rFonts w:ascii="Calibri" w:hAnsi="Calibri" w:cs="Calibri"/>
          <w:b/>
          <w:bCs/>
          <w:sz w:val="22"/>
          <w:szCs w:val="22"/>
        </w:rPr>
        <w:t xml:space="preserve">Suggested Improvements &amp; Evaluation Notes: </w:t>
      </w:r>
    </w:p>
    <w:p w14:paraId="2A7DBB14" w14:textId="24051904" w:rsidR="008D19F7" w:rsidRPr="008D19F7" w:rsidRDefault="008D19F7" w:rsidP="008D19F7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2"/>
          <w:szCs w:val="22"/>
        </w:rPr>
      </w:pPr>
      <w:r w:rsidRPr="008D19F7">
        <w:rPr>
          <w:rFonts w:ascii="Calibri" w:hAnsi="Calibri" w:cs="Calibri"/>
          <w:b/>
          <w:bCs/>
          <w:sz w:val="22"/>
          <w:szCs w:val="22"/>
        </w:rPr>
        <w:t>Data Integration Alignment: Ensure seamless schema unification when merging behavioural surveys with clinical datasets to prevent data skewing during ETL.</w:t>
      </w:r>
    </w:p>
    <w:p w14:paraId="7545B118" w14:textId="71CD9057" w:rsidR="008D19F7" w:rsidRPr="008D19F7" w:rsidRDefault="008D19F7" w:rsidP="008D19F7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2"/>
          <w:szCs w:val="22"/>
        </w:rPr>
      </w:pPr>
      <w:r w:rsidRPr="008D19F7">
        <w:rPr>
          <w:rFonts w:ascii="Calibri" w:hAnsi="Calibri" w:cs="Calibri"/>
          <w:b/>
          <w:bCs/>
          <w:sz w:val="22"/>
          <w:szCs w:val="22"/>
        </w:rPr>
        <w:t>Visual Clarity: Keep Power BI dashboard pages structured using clear card visuals for key health indicators to support rapid clinical decision-making.</w:t>
      </w:r>
    </w:p>
    <w:p w14:paraId="7A2C5AE4" w14:textId="77777777" w:rsidR="008D19F7" w:rsidRDefault="008D19F7" w:rsidP="008D19F7">
      <w:pPr>
        <w:rPr>
          <w:rFonts w:ascii="Calibri" w:hAnsi="Calibri" w:cs="Calibri"/>
          <w:b/>
          <w:bCs/>
          <w:sz w:val="22"/>
          <w:szCs w:val="22"/>
        </w:rPr>
      </w:pPr>
    </w:p>
    <w:p w14:paraId="5DC4CA2D" w14:textId="77777777" w:rsidR="008D19F7" w:rsidRPr="00E60212" w:rsidRDefault="008D19F7" w:rsidP="00E60212">
      <w:pPr>
        <w:jc w:val="center"/>
        <w:rPr>
          <w:rFonts w:ascii="Calibri" w:hAnsi="Calibri" w:cs="Calibri"/>
          <w:b/>
          <w:bCs/>
          <w:color w:val="002060"/>
          <w:sz w:val="48"/>
          <w:szCs w:val="48"/>
        </w:rPr>
      </w:pPr>
    </w:p>
    <w:sectPr w:rsidR="008D19F7" w:rsidRPr="00E602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522D"/>
    <w:multiLevelType w:val="hybridMultilevel"/>
    <w:tmpl w:val="A98C03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7142C"/>
    <w:multiLevelType w:val="hybridMultilevel"/>
    <w:tmpl w:val="610EC6F4"/>
    <w:lvl w:ilvl="0" w:tplc="5866976A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382A22"/>
    <w:multiLevelType w:val="hybridMultilevel"/>
    <w:tmpl w:val="048CED96"/>
    <w:lvl w:ilvl="0" w:tplc="186A0F8E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0378072">
    <w:abstractNumId w:val="0"/>
  </w:num>
  <w:num w:numId="2" w16cid:durableId="1072048554">
    <w:abstractNumId w:val="2"/>
  </w:num>
  <w:num w:numId="3" w16cid:durableId="857549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212"/>
    <w:rsid w:val="004A153E"/>
    <w:rsid w:val="00784099"/>
    <w:rsid w:val="007853F8"/>
    <w:rsid w:val="0089553B"/>
    <w:rsid w:val="008D19F7"/>
    <w:rsid w:val="009D24E9"/>
    <w:rsid w:val="00A61D7C"/>
    <w:rsid w:val="00E35A3B"/>
    <w:rsid w:val="00E6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3D8B2"/>
  <w15:chartTrackingRefBased/>
  <w15:docId w15:val="{8C92C2CB-0820-441A-8108-A3CB27F05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Wilson</dc:creator>
  <cp:keywords/>
  <dc:description/>
  <cp:lastModifiedBy>Charles Wilson</cp:lastModifiedBy>
  <cp:revision>3</cp:revision>
  <dcterms:created xsi:type="dcterms:W3CDTF">2026-10-14T23:49:00Z</dcterms:created>
  <dcterms:modified xsi:type="dcterms:W3CDTF">2026-10-15T21:13:00Z</dcterms:modified>
</cp:coreProperties>
</file>