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  <w:i w:val="0"/>
          <w:color w:val="000000"/>
          <w:sz w:val="42"/>
          <w:u w:val="none"/>
        </w:rPr>
        <w:t>科技与资本主义研究</w:t>
        <w:br/>
        <w:t>小组日程与分工说明</w:t>
      </w:r>
    </w:p>
    <w:p>
      <w:pPr>
        <w:pStyle w:val="Subtitle"/>
      </w:pPr>
      <w:r>
        <w:rPr>
          <w:rFonts w:ascii="Microsoft YaHei" w:hAnsi="Microsoft YaHei" w:eastAsia="Microsoft YaHei"/>
          <w:b w:val="0"/>
          <w:i w:val="0"/>
          <w:color w:val="000000"/>
          <w:sz w:val="20"/>
          <w:u w:val="none"/>
        </w:rPr>
        <w:t>讨论主题  科技进步如何影响劳动 分配与社会组织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32"/>
          <w:u w:val="none"/>
        </w:rPr>
        <w:t>时间表</w:t>
      </w:r>
    </w:p>
    <w:p>
      <w:r>
        <w:rPr>
          <w:rFonts w:ascii="Microsoft YaHei" w:hAnsi="Microsoft YaHei" w:eastAsia="Microsoft YaHei"/>
          <w:b w:val="0"/>
          <w:color w:val="000000"/>
        </w:rPr>
        <w:t>各位好，我会在本周五（10月16日）前完成一份PPT初稿和页游序章。页游后续内容可能需要更久，先请大家审阅初稿并试玩序章，多提意见，尤其一起想办法增加游戏性和幽默感。</w:t>
      </w:r>
    </w:p>
    <w:p>
      <w:r>
        <w:rPr>
          <w:rFonts w:ascii="Microsoft YaHei" w:hAnsi="Microsoft YaHei" w:eastAsia="Microsoft YaHei"/>
          <w:b w:val="0"/>
          <w:color w:val="000000"/>
        </w:rPr>
        <w:t>以下先保留这项时间安排，其余审阅与修改日期为协作建议，可由大家自行调整。分工后续自行商定。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757"/>
        <w:gridCol w:w="2835"/>
        <w:gridCol w:w="5046"/>
      </w:tblGrid>
      <w:tr>
        <w:trPr>
          <w:tblHeader/>
          <w:cantSplit/>
        </w:trPr>
        <w:tc>
          <w:tcPr>
            <w:tcW w:type="dxa" w:w="1757"/>
            <w:vAlign w:val="center"/>
            <w:shd w:fill="DCE8F2"/>
          </w:tcPr>
          <w:p>
            <w:pPr>
              <w:spacing w:after="60" w:before="60" w:line="269" w:lineRule="auto"/>
              <w:jc w:val="center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2835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安排</w:t>
            </w:r>
          </w:p>
        </w:tc>
        <w:tc>
          <w:tcPr>
            <w:tcW w:type="dxa" w:w="5046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产出与说明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周五前</w:t>
              <w:br/>
              <w:t>10月16日前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我完成PPT初稿与页游序章</w:t>
            </w:r>
          </w:p>
        </w:tc>
        <w:tc>
          <w:tcPr>
            <w:tcW w:type="dxa" w:w="5046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提供可审阅的PPT及可试玩的序章；后续章节另行估时。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初稿发出后</w:t>
              <w:br/>
              <w:t>建议24小时内</w:t>
            </w:r>
          </w:p>
        </w:tc>
        <w:tc>
          <w:tcPr>
            <w:tcW w:type="dxa" w:w="2835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全员审阅与试玩</w:t>
            </w:r>
          </w:p>
        </w:tc>
        <w:tc>
          <w:tcPr>
            <w:tcW w:type="dxa" w:w="5046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各自记录内容、玩法、幽默表达及操作问题，提出具体修改建议。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建议周末</w:t>
              <w:br/>
              <w:t>10月17日至18日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集中讨论并确定修改顺序</w:t>
            </w:r>
          </w:p>
        </w:tc>
        <w:tc>
          <w:tcPr>
            <w:tcW w:type="dxa" w:w="5046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区分必须修改、值得尝试、暂缓处理；大家自行认领后续工作。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集中反馈后</w:t>
            </w:r>
          </w:p>
        </w:tc>
        <w:tc>
          <w:tcPr>
            <w:tcW w:type="dxa" w:w="2835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修改PPT并继续迭代页游</w:t>
            </w:r>
          </w:p>
        </w:tc>
        <w:tc>
          <w:tcPr>
            <w:tcW w:type="dxa" w:w="5046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优先解决表达不清和影响试玩的问题；后续章节日期按工作量再定。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本轮先完成什么</w:t>
      </w:r>
    </w:p>
    <w:p>
      <w:r>
        <w:rPr>
          <w:rFonts w:ascii="Microsoft YaHei" w:hAnsi="Microsoft YaHei" w:eastAsia="Microsoft YaHei"/>
          <w:b w:val="0"/>
          <w:color w:val="000000"/>
        </w:rPr>
        <w:t>PPT先形成清楚的论证主线，页游先让序章具备可理解的规则、可操作的选择和可观察的后果。初稿用于一起发现问题，不要求一次完成所有理论与全部章节。</w:t>
      </w:r>
    </w:p>
    <w:p>
      <w:r>
        <w:rPr>
          <w:rFonts w:ascii="Microsoft YaHei" w:hAnsi="Microsoft YaHei" w:eastAsia="Microsoft YaHei"/>
          <w:b w:val="0"/>
          <w:color w:val="000000"/>
        </w:rPr>
        <w:t>请大家优先看两篇主线视频或对应文字稿，再结合自己的兴趣选看其他材料。主要是想了解大家各自的关注点，欢迎把感兴趣的问题和类似主题的材料发到群里，一起讨论。阅读时可以简单记录“作者的判断／支持它的证据／还缺什么条件”。</w:t>
      </w:r>
    </w:p>
    <w:p>
      <w:r>
        <w:rPr>
          <w:rFonts w:ascii="Microsoft YaHei" w:hAnsi="Microsoft YaHei" w:eastAsia="Microsoft YaHei"/>
          <w:b w:val="0"/>
          <w:color w:val="000000"/>
        </w:rPr>
        <w:t>这里提供的资料只是讨论的出发点，不代表我或我们小组认同其中的观点。我鼓励大家指出材料中的错误，质疑其论证和证据，并提出不同的观点。欢迎把自己的理由和参考资料一起发到群里讨论。</w:t>
      </w:r>
    </w:p>
    <w:p>
      <w:pPr>
        <w:pStyle w:val="Subtitle"/>
      </w:pPr>
      <w:r>
        <w:rPr>
          <w:rFonts w:ascii="Microsoft YaHei" w:hAnsi="Microsoft YaHei" w:eastAsia="Microsoft YaHei"/>
          <w:b w:val="0"/>
          <w:i w:val="0"/>
          <w:color w:val="000000"/>
          <w:sz w:val="20"/>
          <w:u w:val="none"/>
        </w:rPr>
        <w:t>文档日期  2026年10月13日</w:t>
      </w:r>
    </w:p>
    <w:p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32"/>
          <w:u w:val="none"/>
        </w:rPr>
        <w:t>工作内容与审阅说明</w:t>
      </w:r>
    </w:p>
    <w:p>
      <w:r>
        <w:rPr>
          <w:rFonts w:ascii="Microsoft YaHei" w:hAnsi="Microsoft YaHei" w:eastAsia="Microsoft YaHei"/>
          <w:b w:val="0"/>
          <w:color w:val="000000"/>
        </w:rPr>
        <w:t>后续由大家自行分工。下面列出可认领的工作与交付物，建议大家先试玩《信任的进化》，再结合自己的兴趣认领工作。</w:t>
      </w:r>
    </w:p>
    <w:p>
      <w:r>
        <w:rPr>
          <w:rFonts w:ascii="Microsoft YaHei" w:hAnsi="Microsoft YaHei" w:eastAsia="Microsoft YaHei"/>
          <w:b w:val="0"/>
          <w:color w:val="000000"/>
        </w:rPr>
        <w:t>另外，请大家都找一些AI相关的梗图，发到群里供我们一起挑选，用于PPT或游戏中的幽默表达。我会先把示例放到群里。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417"/>
        <w:gridCol w:w="4762"/>
        <w:gridCol w:w="3458"/>
      </w:tblGrid>
      <w:tr>
        <w:trPr>
          <w:tblHeader/>
          <w:cantSplit/>
        </w:trPr>
        <w:tc>
          <w:tcPr>
            <w:tcW w:type="dxa" w:w="1417"/>
            <w:vAlign w:val="center"/>
            <w:shd w:fill="DCE8F2"/>
          </w:tcPr>
          <w:p>
            <w:pPr>
              <w:spacing w:after="60" w:before="60" w:line="269" w:lineRule="auto"/>
              <w:jc w:val="center"/>
            </w:pPr>
            <w:r>
              <w:rPr>
                <w:b/>
                <w:sz w:val="19"/>
              </w:rPr>
              <w:t>工作</w:t>
            </w:r>
          </w:p>
        </w:tc>
        <w:tc>
          <w:tcPr>
            <w:tcW w:type="dxa" w:w="4762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需要做什么</w:t>
            </w:r>
          </w:p>
        </w:tc>
        <w:tc>
          <w:tcPr>
            <w:tcW w:type="dxa" w:w="3458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交付物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PPT内容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选择论点、例子与图示，梳理页与页之间的逻辑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页码建议、替换文字或草图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资料核对</w:t>
            </w:r>
          </w:p>
        </w:tc>
        <w:tc>
          <w:tcPr>
            <w:tcW w:type="dxa" w:w="4762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回听关键段落；核对定义、引文、论文结论及适用条件</w:t>
            </w:r>
          </w:p>
        </w:tc>
        <w:tc>
          <w:tcPr>
            <w:tcW w:type="dxa" w:w="3458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来源链接、时间戳或页码、修正意见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游戏性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检查选择是否有差别，是否能重试并观察后果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一个具体玩法改法及它解决的问题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幽默与叙事</w:t>
            </w:r>
          </w:p>
        </w:tc>
        <w:tc>
          <w:tcPr>
            <w:tcW w:type="dxa" w:w="4762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修改人物对白、反馈和情境，使表达自然</w:t>
            </w:r>
          </w:p>
        </w:tc>
        <w:tc>
          <w:tcPr>
            <w:tcW w:type="dxa" w:w="3458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可直接替换的短对白或反馈句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试玩与呈现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检查操作、阅读负担、手机显示及演示节奏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复现步骤、预期与实际结果、截图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怎样反馈更方便修改</w:t>
      </w:r>
    </w:p>
    <w:p>
      <w:r>
        <w:rPr>
          <w:rFonts w:ascii="Microsoft YaHei" w:hAnsi="Microsoft YaHei" w:eastAsia="Microsoft YaHei"/>
          <w:b w:val="0"/>
          <w:color w:val="000000"/>
        </w:rPr>
        <w:t>建议格式：PPT第几页或游戏哪一步 → 问题是什么 → 建议怎样改 → 如涉及事实，附来源。优先写能执行的建议，例如“把这段解释放到选择之后”，或直接给一句替换对白。</w:t>
      </w:r>
    </w:p>
    <w:p>
      <w:r>
        <w:rPr>
          <w:rFonts w:ascii="Microsoft YaHei" w:hAnsi="Microsoft YaHei" w:eastAsia="Microsoft YaHei"/>
          <w:b w:val="0"/>
          <w:color w:val="000000"/>
        </w:rPr>
        <w:t>游戏性重点：是否有真实的取舍；选择后能否看见变化；是否愿意换个条件再试。幽默感可来自人物的愿望、意外后果和短反馈，避免拿劳动者困境或受害者作笑点。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交互作品参考</w:t>
      </w:r>
    </w:p>
    <w:p>
      <w:hyperlink r:id="rId9">
        <w:r>
          <w:rPr>
            <w:color w:val="175B8F"/>
            <w:u w:val="single"/>
            <w:rFonts w:eastAsia="Microsoft YaHei" w:ascii="Microsoft YaHei"/>
          </w:rPr>
          <w:t>信任的进化 简体中文版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重点观察：先给简单规则，再让玩家选择；结果出现后才引入新条件；用重复尝试和短反馈推动理解。可借鉴叙事节奏，不必复制其博弈模型。</w:t>
      </w:r>
    </w:p>
    <w:p>
      <w:hyperlink r:id="rId10">
        <w:r>
          <w:rPr>
            <w:color w:val="175B8F"/>
            <w:u w:val="single"/>
            <w:rFonts w:eastAsia="Microsoft YaHei" w:ascii="Microsoft YaHei"/>
          </w:rPr>
          <w:t>The Evolution of Trust 作者原版</w:t>
        </w:r>
      </w:hyperlink>
    </w:p>
    <w:p>
      <w:hyperlink r:id="rId11">
        <w:r>
          <w:rPr>
            <w:color w:val="175B8F"/>
            <w:u w:val="single"/>
            <w:rFonts w:eastAsia="Microsoft YaHei" w:ascii="Microsoft YaHei"/>
          </w:rPr>
          <w:t>Parable of the Polygons 多边形寓言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重点观察：个体选择怎样逐渐形成整体结果，怎样用操作代替长篇讲解。</w:t>
      </w:r>
    </w:p>
    <w:p>
      <w:hyperlink r:id="rId12">
        <w:r>
          <w:rPr>
            <w:color w:val="175B8F"/>
            <w:u w:val="single"/>
            <w:rFonts w:eastAsia="Microsoft YaHei" w:ascii="Microsoft YaHei"/>
          </w:rPr>
          <w:t>Explorable Explanations 可探索解释作品目录</w:t>
        </w:r>
      </w:hyperlink>
    </w:p>
    <w:p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32"/>
          <w:u w:val="none"/>
        </w:rPr>
        <w:t>推荐视频与PPT选材</w:t>
      </w:r>
    </w:p>
    <w:p>
      <w:hyperlink r:id="rId13">
        <w:r>
          <w:rPr>
            <w:color w:val="175B8F"/>
            <w:u w:val="single"/>
            <w:rFonts w:eastAsia="Microsoft YaHei" w:ascii="Microsoft YaHei"/>
          </w:rPr>
          <w:t>学院派Academia 主页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这位UP主的理论性较强，适合搭建问题框架。建议大家带着研究主题看，不必逐篇通看。PPT应把理论转成能说明问题的机制、例子和图示，并用论文补足证据。同一作者的视频不代表学界共识。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1 资本主义的本质是什么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约55分钟  主线优先  </w:t>
      </w:r>
      <w:hyperlink r:id="rId14">
        <w:r>
          <w:rPr>
            <w:color w:val="175B8F"/>
            <w:u w:val="single"/>
            <w:rFonts w:eastAsia="Microsoft YaHei" w:ascii="Microsoft YaHei"/>
          </w:rPr>
          <w:t>观看视频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关注：斯密、马克思、韦伯三种解释视角；分工与效率、资本积累、产权与决定权。</w:t>
        <w:br/>
        <w:t>选材：第3至6页解释基本矛盾与需求；第14至18页讨论剩余价值、韦伯与技术采用。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2 AI会带来赛博朋克 还是解放全人类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约49分钟  主线优先  </w:t>
      </w:r>
      <w:hyperlink r:id="rId15">
        <w:r>
          <w:rPr>
            <w:color w:val="175B8F"/>
            <w:u w:val="single"/>
            <w:rFonts w:eastAsia="Microsoft YaHei" w:ascii="Microsoft YaHei"/>
          </w:rPr>
          <w:t>观看视频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关注：AI产权、规训和变革三种视角；被隐藏的劳动；改造AI的目标、决定权和调整时间。</w:t>
        <w:br/>
        <w:t>选材：第24至28页讨论认知劳动、就业与控制；第30至31页讨论收入保障与公共AI。三种视角作为分析工具。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3 赛博朋克是资本主义的终极形态吗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约32分钟  拓展选看  </w:t>
      </w:r>
      <w:hyperlink r:id="rId16">
        <w:r>
          <w:rPr>
            <w:color w:val="175B8F"/>
            <w:u w:val="single"/>
            <w:rFonts w:eastAsia="Microsoft YaHei" w:ascii="Microsoft YaHei"/>
          </w:rPr>
          <w:t>观看视频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关注：控制论、组织管理和技术社会想象。</w:t>
        <w:br/>
        <w:t>选材：第17、28页的算法管理与控制情境；避免把文艺世界当成现实证据。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4 科学向善何以可能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约17分钟  简短入门  </w:t>
      </w:r>
      <w:hyperlink r:id="rId17">
        <w:r>
          <w:rPr>
            <w:color w:val="175B8F"/>
            <w:u w:val="single"/>
            <w:rFonts w:eastAsia="Microsoft YaHei" w:ascii="Microsoft YaHei"/>
          </w:rPr>
          <w:t>观看视频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关注：技术目标、社会需要与科技进步的评价。</w:t>
        <w:br/>
        <w:t>选材：第17、21、33页：连接效率目标、生活改善和最终评价。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5 AGI通用人工智能 正如何成为一种新宗教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约49分钟  拓展选看  </w:t>
      </w:r>
      <w:hyperlink r:id="rId18">
        <w:r>
          <w:rPr>
            <w:color w:val="175B8F"/>
            <w:u w:val="single"/>
            <w:rFonts w:eastAsia="Microsoft YaHei" w:ascii="Microsoft YaHei"/>
          </w:rPr>
          <w:t>观看视频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关注：技术期待、未来叙事与已经验证的成果之间的区别。</w:t>
        <w:br/>
        <w:t>选材：第25、30至31页：区分技术愿景、资源约束与现行制度，避免AGI时间表喧宾夺主。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6 DeepSeek拒绝成为一家伟大的公司 梁文锋究竟想要什么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约18分钟  补充选看  </w:t>
      </w:r>
      <w:hyperlink r:id="rId19">
        <w:r>
          <w:rPr>
            <w:color w:val="175B8F"/>
            <w:u w:val="single"/>
            <w:rFonts w:eastAsia="Microsoft YaHei" w:ascii="Microsoft YaHei"/>
          </w:rPr>
          <w:t>观看视频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关注：作者对研究目标、商业化、开源与融资关系的解释（05:59—11:17）。</w:t>
        <w:br/>
        <w:t>选材：第27页：开放成果与实际控制权。人物动机、融资数字和AGI预期须另查原始资料。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7 从全民发钱到AI沙皇 Sam Altman是硅谷的未来吗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约46分钟  补充选看  </w:t>
      </w:r>
      <w:hyperlink r:id="rId20">
        <w:r>
          <w:rPr>
            <w:color w:val="175B8F"/>
            <w:u w:val="single"/>
            <w:rFonts w:eastAsia="Microsoft YaHei" w:ascii="Microsoft YaHei"/>
          </w:rPr>
          <w:t>观看视频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关注：作者对UBI试点与制度化障碍的分析（15:27—24:38），以及商业与国家竞争（29:06—33:26）。</w:t>
        <w:br/>
        <w:t>选材：第30至32页：讨论改革动因、资金与制度配套；试验成败须核对原研究，不直接采用作者判断。</w:t>
      </w:r>
    </w:p>
    <w:p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32"/>
          <w:u w:val="none"/>
        </w:rPr>
        <w:t>文字稿清单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文字稿资料包</w:t>
      </w:r>
    </w:p>
    <w:p>
      <w:r>
        <w:rPr>
          <w:rFonts w:ascii="Microsoft YaHei" w:hAnsi="Microsoft YaHei" w:eastAsia="Microsoft YaHei"/>
          <w:b w:val="0"/>
          <w:color w:val="000000"/>
        </w:rPr>
        <w:t>随附“视频文字稿资料包.zip”，七篇文字稿均已收录并按编号分文件夹保存。前五篇提供带时间戳的术语整理版，新增两篇保留机器稿；每篇均附便读TXT及已有字幕、元数据。包内目录列出完整标题、视频链接及文本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850"/>
        <w:gridCol w:w="3969"/>
        <w:gridCol w:w="4819"/>
      </w:tblGrid>
      <w:tr>
        <w:trPr>
          <w:tblHeader/>
          <w:cantSplit/>
        </w:trPr>
        <w:tc>
          <w:tcPr>
            <w:tcW w:type="dxa" w:w="850"/>
            <w:vAlign w:val="center"/>
            <w:shd w:fill="DCE8F2"/>
          </w:tcPr>
          <w:p>
            <w:pPr>
              <w:spacing w:after="60" w:before="60" w:line="26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969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视频编号</w:t>
            </w:r>
          </w:p>
        </w:tc>
        <w:tc>
          <w:tcPr>
            <w:tcW w:type="dxa" w:w="4819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文字稿状态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BV1Jt4y1B72f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已收录 术语整理版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3969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BV1bk4y1e7Jp</w:t>
            </w:r>
          </w:p>
        </w:tc>
        <w:tc>
          <w:tcPr>
            <w:tcW w:type="dxa" w:w="4819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已收录 术语整理版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BV1NK4y1L7gw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已收录 术语整理版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3969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BV1Xb421b74B</w:t>
            </w:r>
          </w:p>
        </w:tc>
        <w:tc>
          <w:tcPr>
            <w:tcW w:type="dxa" w:w="4819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已收录 术语整理版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BV1X5fgBfEFp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已收录 术语整理版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3969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BV1MHuS6yEMk</w:t>
            </w:r>
          </w:p>
        </w:tc>
        <w:tc>
          <w:tcPr>
            <w:tcW w:type="dxa" w:w="4819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已收录 机器稿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BV1KVwGe6EGK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已收录 机器稿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文字稿为机器转写和部分术语修订，仍有错字、漏字及误识别。重要定义、引文和数字要回听并查原文；注明作者、视频链接与时间戳，保留材料来源。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选材时怎样取舍</w:t>
      </w:r>
    </w:p>
    <w:p>
      <w:r>
        <w:rPr>
          <w:rFonts w:ascii="Microsoft YaHei" w:hAnsi="Microsoft YaHei" w:eastAsia="Microsoft YaHei"/>
          <w:b w:val="0"/>
          <w:color w:val="000000"/>
        </w:rPr>
        <w:t>优先放：科技提高效率与分配结果之间的区别；任务替代与新任务；所有权和实际决定权；隐藏劳动；有条件的需求与危机机制。</w:t>
      </w:r>
    </w:p>
    <w:p>
      <w:r>
        <w:rPr>
          <w:rFonts w:ascii="Microsoft YaHei" w:hAnsi="Microsoft YaHei" w:eastAsia="Microsoft YaHei"/>
          <w:b w:val="0"/>
          <w:color w:val="000000"/>
        </w:rPr>
        <w:t>谨慎放：AI必然消灭所有工作、必然崩溃、公有化加UBI必然解决一切等强断言。可作为待讨论观点，不能直接作为已证明结论。</w:t>
      </w:r>
    </w:p>
    <w:p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32"/>
          <w:u w:val="none"/>
        </w:rPr>
        <w:t>PPT主线建议</w:t>
      </w:r>
    </w:p>
    <w:p>
      <w:r>
        <w:rPr>
          <w:rFonts w:ascii="Microsoft YaHei" w:hAnsi="Microsoft YaHei" w:eastAsia="Microsoft YaHei"/>
          <w:b w:val="0"/>
          <w:color w:val="000000"/>
        </w:rPr>
        <w:t>依据《汇报提纲-每页一个重点.md》安排：共36页，约30分钟；封面1页、黑色章节页6页、浅色正文26页、浅色附录3页。附录不计入主讲，保留古罗马斗兽场主题。</w:t>
      </w:r>
    </w:p>
    <w:p>
      <w:r>
        <w:rPr>
          <w:rFonts w:ascii="Microsoft YaHei" w:hAnsi="Microsoft YaHei" w:eastAsia="Microsoft YaHei"/>
          <w:b w:val="0"/>
          <w:color w:val="000000"/>
        </w:rPr>
        <w:t>论证主线：基本矛盾 → 投资、消费、出口的应对 → 技术扩大剩余价值 → 韦伯的组织解释 → 新技术与AI的作用 → UBI与公有AI的制度回应。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134"/>
        <w:gridCol w:w="5216"/>
        <w:gridCol w:w="3288"/>
      </w:tblGrid>
      <w:tr>
        <w:trPr>
          <w:tblHeader/>
          <w:cantSplit/>
        </w:trPr>
        <w:tc>
          <w:tcPr>
            <w:tcW w:type="dxa" w:w="1134"/>
            <w:vAlign w:val="center"/>
            <w:shd w:fill="DCE8F2"/>
          </w:tcPr>
          <w:p>
            <w:pPr>
              <w:spacing w:after="60" w:before="60" w:line="269" w:lineRule="auto"/>
              <w:jc w:val="center"/>
            </w:pPr>
            <w:r>
              <w:rPr>
                <w:b/>
                <w:sz w:val="19"/>
              </w:rPr>
              <w:t>页码</w:t>
            </w:r>
          </w:p>
        </w:tc>
        <w:tc>
          <w:tcPr>
            <w:tcW w:type="dxa" w:w="5216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逐页重点</w:t>
            </w:r>
          </w:p>
        </w:tc>
        <w:tc>
          <w:tcPr>
            <w:tcW w:type="dxa" w:w="3288"/>
            <w:vAlign w:val="center"/>
            <w:shd w:fill="DCE8F2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组织与选材建议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科学技术是缓和还是加剧了资本主义基本矛盾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封面明确研究问题，以投资、消费、出口到AI为副线。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2至7</w:t>
            </w:r>
          </w:p>
        </w:tc>
        <w:tc>
          <w:tcPr>
            <w:tcW w:type="dxa" w:w="5216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第2页章节页；第3页社会协作与关键权利；第4页企业成本与整体需求；第5页相对过剩；第6页过剩的形成；第7页引出科技问题。</w:t>
            </w:r>
          </w:p>
        </w:tc>
        <w:tc>
          <w:tcPr>
            <w:tcW w:type="dxa" w:w="3288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用苹果供应链与企业博弈落到基本矛盾；核算恒等式不作危机定理。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8至12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第8页章节页；第9页投资的当期需求与未来产能；第10页收入与偿债；第11页出口与全球需求；第12页政策调整。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分别讲三条需求路径的作用和边界。2008年案例连接信用与实体经济，数据注明口径。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13至18</w:t>
            </w:r>
          </w:p>
        </w:tc>
        <w:tc>
          <w:tcPr>
            <w:tcW w:type="dxa" w:w="5216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第13页章节页；第14页超额剩余价值；第15页相对剩余价值；第16页韦伯的理性经营；第17页效率服务的目标；第18页节约可变资本。</w:t>
            </w:r>
          </w:p>
        </w:tc>
        <w:tc>
          <w:tcPr>
            <w:tcW w:type="dxa" w:w="3288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先解释技术采用的动力，再讲核算和组织。剩余价值率、总量与利润率分开。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19至22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第19页章节页；第20页技术竞赛与投资扩张；第21页降本怎样传到生活；第22页数字服务贸易与入口控制。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回扣投资、消费、出口，比较新增能力如何转为需求、使用价值和收益。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23至28</w:t>
            </w:r>
          </w:p>
        </w:tc>
        <w:tc>
          <w:tcPr>
            <w:tcW w:type="dxa" w:w="5216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第23页章节页；第24页认知任务与知识产出；第25页资源与回报约束；第26页效率与就业；第27页成果开放与能力控制；第28页算法管理。</w:t>
            </w:r>
          </w:p>
        </w:tc>
        <w:tc>
          <w:tcPr>
            <w:tcW w:type="dxa" w:w="3288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客服研究说明任务提效；区分工时与人数、成果与模型、开放与公共所有。幕后劳动与申诉权落到具体安排。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29至33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第29页章节页；第30页改革动因与阻力；第31页公共AI和基本收入的机制；第32页分别运行的制度先例；第33页回答总问题。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UBI加公有AI按有条件的制度回应讨论，交代财源、资源和治理；以生活、劳动收益及决定权评价结果。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9"/>
          </w:tcPr>
          <w:p>
            <w:pPr>
              <w:spacing w:after="60" w:before="60" w:line="269" w:lineRule="auto"/>
              <w:jc w:val="center"/>
            </w:pPr>
            <w:r>
              <w:rPr>
                <w:b w:val="0"/>
                <w:sz w:val="19"/>
              </w:rPr>
              <w:t>34至36</w:t>
            </w:r>
          </w:p>
        </w:tc>
        <w:tc>
          <w:tcPr>
            <w:tcW w:type="dxa" w:w="5216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附录A1核对价值率与量；A2展开韦伯；A3说明UBI财源与公共权利。</w:t>
            </w:r>
          </w:p>
        </w:tc>
        <w:tc>
          <w:tcPr>
            <w:tcW w:type="dxa" w:w="3288"/>
            <w:vAlign w:val="center"/>
            <w:shd w:fill="F5F7F9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用于答疑。制度部件的先例不等于完整组合已成功，未来强AI按情景假设处理。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每页一个重点的写法</w:t>
      </w:r>
    </w:p>
    <w:p>
      <w:r>
        <w:rPr>
          <w:rFonts w:ascii="Microsoft YaHei" w:hAnsi="Microsoft YaHei" w:eastAsia="Microsoft YaHei"/>
          <w:b w:val="0"/>
          <w:color w:val="000000"/>
        </w:rPr>
        <w:t>每页标题表达一个判断，用一个案例、图表或算例支撑，再交代成立条件。视频帮助提出问题，论文与原始资料核对证据。先保证36页之间逻辑连贯；页游展示的位置和时长由大家结合汇报安排商定。</w:t>
      </w:r>
    </w:p>
    <w:p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32"/>
          <w:u w:val="none"/>
        </w:rPr>
        <w:t>论文与其他参考资料</w:t>
      </w:r>
    </w:p>
    <w:p>
      <w:r>
        <w:rPr>
          <w:rFonts w:ascii="Microsoft YaHei" w:hAnsi="Microsoft YaHei" w:eastAsia="Microsoft YaHei"/>
          <w:b w:val="0"/>
          <w:color w:val="000000"/>
        </w:rPr>
        <w:t>先读摘要和结论，再按分工补读相关部分。下面每条均附原始论文或研究机构链接，便于追溯。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Acemoglu与Restrepo 2019</w:t>
      </w:r>
    </w:p>
    <w:p>
      <w:hyperlink r:id="rId21">
        <w:r>
          <w:rPr>
            <w:color w:val="175B8F"/>
            <w:u w:val="single"/>
            <w:rFonts w:eastAsia="Microsoft YaHei" w:ascii="Microsoft YaHei"/>
          </w:rPr>
          <w:t>Automation and New Tasks: How Technology Displaces and Reinstates Labor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JEP期刊论文。用于第18、26页：区分任务被替代与新任务重新吸纳劳动。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Acemoglu 2024</w:t>
      </w:r>
    </w:p>
    <w:p>
      <w:hyperlink r:id="rId22">
        <w:r>
          <w:rPr>
            <w:color w:val="175B8F"/>
            <w:u w:val="single"/>
            <w:rFonts w:eastAsia="Microsoft YaHei" w:ascii="Microsoft YaHei"/>
          </w:rPr>
          <w:t>The Simple Macroeconomics of AI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NBER工作论文入口。用于说明宏观效果取决于受影响任务份额及任务层面的收益；模型估计有条件，不能当作已经发生的结果。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Acemoglu Autor与Johnson 2026</w:t>
      </w:r>
    </w:p>
    <w:p>
      <w:hyperlink r:id="rId23">
        <w:r>
          <w:rPr>
            <w:color w:val="175B8F"/>
            <w:u w:val="single"/>
            <w:rFonts w:eastAsia="Microsoft YaHei" w:ascii="Microsoft YaHei"/>
          </w:rPr>
          <w:t>Building Pro-Worker Artificial Intelligence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理论与政策工作论文。用于第26、28、30至31页：讨论人的专业能力、新任务与技术方向的激励。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Brynjolfsson Li与Raymond 2023</w:t>
      </w:r>
    </w:p>
    <w:p>
      <w:hyperlink r:id="rId24">
        <w:r>
          <w:rPr>
            <w:color w:val="175B8F"/>
            <w:u w:val="single"/>
            <w:rFonts w:eastAsia="Microsoft YaHei" w:ascii="Microsoft YaHei"/>
          </w:rPr>
          <w:t>Generative AI at Work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客服场景现场研究的工作论文入口，后有期刊版本。用于第24、26页；沿提纲采用QJE 2025年期刊版的数据口径，勿与早期工作论文数字混用。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国际劳工组织 2025</w:t>
      </w:r>
    </w:p>
    <w:p>
      <w:hyperlink r:id="rId25">
        <w:r>
          <w:rPr>
            <w:color w:val="175B8F"/>
            <w:u w:val="single"/>
            <w:rFonts w:eastAsia="Microsoft YaHei" w:ascii="Microsoft YaHei"/>
          </w:rPr>
          <w:t>Generative AI and Jobs: A Refined Global Index of Occupational Exposure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职业任务暴露评估。补充“岗位可能转型”与“岗位已经消失”的区别。</w:t>
      </w:r>
    </w:p>
    <w:p>
      <w:pPr>
        <w:pStyle w:val="Heading2"/>
      </w:pPr>
      <w:r>
        <w:rPr>
          <w:rFonts w:ascii="Microsoft YaHei" w:hAnsi="Microsoft YaHei" w:eastAsia="Microsoft YaHei"/>
          <w:i w:val="0"/>
          <w:color w:val="000000"/>
          <w:sz w:val="24"/>
          <w:u w:val="none"/>
        </w:rPr>
        <w:t>知乎材料</w:t>
      </w:r>
    </w:p>
    <w:p>
      <w:hyperlink r:id="rId26">
        <w:r>
          <w:rPr>
            <w:color w:val="175B8F"/>
            <w:u w:val="single"/>
            <w:rFonts w:eastAsia="Microsoft YaHei" w:ascii="Microsoft YaHei"/>
          </w:rPr>
          <w:t>遨游之舟 关于资本主义基本矛盾的面包店解释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适合借鉴面包店情境和解释顺序。属于通俗回答，机制与假设应另行核对，不能替代学术证据。</w:t>
      </w:r>
    </w:p>
    <w:p>
      <w:hyperlink r:id="rId27">
        <w:r>
          <w:rPr>
            <w:color w:val="175B8F"/>
            <w:u w:val="single"/>
            <w:rFonts w:eastAsia="Microsoft YaHei" w:ascii="Microsoft YaHei"/>
          </w:rPr>
          <w:t>知乎专栏 AGI相关材料</w:t>
        </w:r>
      </w:hyperlink>
    </w:p>
    <w:p>
      <w:r>
        <w:rPr>
          <w:rFonts w:ascii="Microsoft YaHei" w:hAnsi="Microsoft YaHei" w:eastAsia="Microsoft YaHei"/>
          <w:b w:val="0"/>
          <w:color w:val="000000"/>
        </w:rPr>
        <w:t>从专栏中按兴趣选读相关主题，用来收集制度与情景讨论的线索。将预测、作者判断与可核对资料分开，关键证据沿各篇文章的参考文献追溯。</w:t>
      </w:r>
    </w:p>
    <w:p>
      <w:r>
        <w:rPr>
          <w:rFonts w:ascii="Microsoft YaHei" w:hAnsi="Microsoft YaHei" w:eastAsia="Microsoft YaHei"/>
          <w:b w:val="0"/>
          <w:color w:val="000000"/>
        </w:rPr>
        <w:t>资料包保留原视频来源，供小组阅读与核对。正式PPT引用尽量标注原作者、年份、链接，以及实际用到的页码或时间戳。</w:t>
      </w:r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ccxi.com/trust/" TargetMode="External"/><Relationship Id="rId10" Type="http://schemas.openxmlformats.org/officeDocument/2006/relationships/hyperlink" Target="https://ncase.me/trust/" TargetMode="External"/><Relationship Id="rId11" Type="http://schemas.openxmlformats.org/officeDocument/2006/relationships/hyperlink" Target="https://ncase.me/polygons/" TargetMode="External"/><Relationship Id="rId12" Type="http://schemas.openxmlformats.org/officeDocument/2006/relationships/hyperlink" Target="https://explorabl.es/" TargetMode="External"/><Relationship Id="rId13" Type="http://schemas.openxmlformats.org/officeDocument/2006/relationships/hyperlink" Target="https://space.bilibili.com/96639395/" TargetMode="External"/><Relationship Id="rId14" Type="http://schemas.openxmlformats.org/officeDocument/2006/relationships/hyperlink" Target="https://www.bilibili.com/video/BV1Jt4y1B72f/" TargetMode="External"/><Relationship Id="rId15" Type="http://schemas.openxmlformats.org/officeDocument/2006/relationships/hyperlink" Target="https://www.bilibili.com/video/BV1bk4y1e7Jp/" TargetMode="External"/><Relationship Id="rId16" Type="http://schemas.openxmlformats.org/officeDocument/2006/relationships/hyperlink" Target="https://www.bilibili.com/video/BV1NK4y1L7gw/" TargetMode="External"/><Relationship Id="rId17" Type="http://schemas.openxmlformats.org/officeDocument/2006/relationships/hyperlink" Target="https://www.bilibili.com/video/BV1Xb421b74B/" TargetMode="External"/><Relationship Id="rId18" Type="http://schemas.openxmlformats.org/officeDocument/2006/relationships/hyperlink" Target="https://www.bilibili.com/video/BV1X5fgBfEFp/" TargetMode="External"/><Relationship Id="rId19" Type="http://schemas.openxmlformats.org/officeDocument/2006/relationships/hyperlink" Target="https://www.bilibili.com/video/BV1MHuS6yEMk/" TargetMode="External"/><Relationship Id="rId20" Type="http://schemas.openxmlformats.org/officeDocument/2006/relationships/hyperlink" Target="https://www.bilibili.com/video/BV1KVwGe6EGK/" TargetMode="External"/><Relationship Id="rId21" Type="http://schemas.openxmlformats.org/officeDocument/2006/relationships/hyperlink" Target="https://www.aeaweb.org/articles?id=10.1257/jep.33.2.3" TargetMode="External"/><Relationship Id="rId22" Type="http://schemas.openxmlformats.org/officeDocument/2006/relationships/hyperlink" Target="https://www.nber.org/papers/w32487" TargetMode="External"/><Relationship Id="rId23" Type="http://schemas.openxmlformats.org/officeDocument/2006/relationships/hyperlink" Target="https://www.nber.org/papers/w34854" TargetMode="External"/><Relationship Id="rId24" Type="http://schemas.openxmlformats.org/officeDocument/2006/relationships/hyperlink" Target="https://www.nber.org/papers/w31161" TargetMode="External"/><Relationship Id="rId25" Type="http://schemas.openxmlformats.org/officeDocument/2006/relationships/hyperlink" Target="https://www.ilo.org/publications/generative-ai-and-jobs-refined-global-index-occupational-exposure" TargetMode="External"/><Relationship Id="rId26" Type="http://schemas.openxmlformats.org/officeDocument/2006/relationships/hyperlink" Target="https://www.zhihu.com/question/264895929/answer/1906437501" TargetMode="External"/><Relationship Id="rId27" Type="http://schemas.openxmlformats.org/officeDocument/2006/relationships/hyperlink" Target="https://zhuanlan.zhihu.com/c_18730391218716917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科技与资本主义研究小组日程与分工说明</dc:title>
  <dc:subject>PPT初稿与页游序章协作安排及阅读资料</dc:subject>
  <dc:creator>研究小组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