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4B9AD" w14:textId="406331E9" w:rsidR="003C4FDA" w:rsidRPr="003C4FDA" w:rsidRDefault="003C4FDA" w:rsidP="003C4FDA">
      <w:pPr>
        <w:rPr>
          <w:rFonts w:ascii="Times New Roman" w:eastAsia="等线" w:hAnsi="Times New Roman" w:cs="Times New Roman"/>
          <w:b/>
          <w:sz w:val="24"/>
          <w:szCs w:val="24"/>
        </w:rPr>
      </w:pPr>
      <w:r w:rsidRPr="003C4FDA">
        <w:rPr>
          <w:rFonts w:ascii="Times New Roman" w:eastAsia="等线" w:hAnsi="Times New Roman" w:cs="Times New Roman"/>
          <w:b/>
          <w:sz w:val="24"/>
          <w:szCs w:val="24"/>
        </w:rPr>
        <w:t xml:space="preserve">Supplementary </w:t>
      </w:r>
      <w:r w:rsidRPr="003C4FDA">
        <w:rPr>
          <w:rFonts w:ascii="Times New Roman" w:eastAsia="等线" w:hAnsi="Times New Roman" w:cs="Times New Roman" w:hint="eastAsia"/>
          <w:b/>
          <w:sz w:val="24"/>
          <w:szCs w:val="24"/>
        </w:rPr>
        <w:t>T</w:t>
      </w:r>
      <w:r w:rsidRPr="003C4FDA">
        <w:rPr>
          <w:rFonts w:ascii="Times New Roman" w:eastAsia="等线" w:hAnsi="Times New Roman" w:cs="Times New Roman"/>
          <w:b/>
          <w:sz w:val="24"/>
          <w:szCs w:val="24"/>
        </w:rPr>
        <w:t xml:space="preserve">able </w:t>
      </w:r>
      <w:r w:rsidR="006F68A4">
        <w:rPr>
          <w:rFonts w:ascii="Times New Roman" w:eastAsia="等线" w:hAnsi="Times New Roman" w:cs="Times New Roman" w:hint="eastAsia"/>
          <w:b/>
          <w:sz w:val="24"/>
          <w:szCs w:val="24"/>
        </w:rPr>
        <w:t>S</w:t>
      </w:r>
      <w:bookmarkStart w:id="0" w:name="_GoBack"/>
      <w:bookmarkEnd w:id="0"/>
      <w:r w:rsidRPr="003C4FDA">
        <w:rPr>
          <w:rFonts w:ascii="Times New Roman" w:eastAsia="等线" w:hAnsi="Times New Roman" w:cs="Times New Roman"/>
          <w:b/>
          <w:sz w:val="24"/>
          <w:szCs w:val="24"/>
        </w:rPr>
        <w:t xml:space="preserve">4. </w:t>
      </w:r>
      <w:bookmarkStart w:id="1" w:name="_Hlk113903901"/>
      <w:r w:rsidRPr="003C4FDA">
        <w:rPr>
          <w:rFonts w:ascii="Times New Roman" w:eastAsia="等线" w:hAnsi="Times New Roman" w:cs="Times New Roman"/>
          <w:b/>
          <w:sz w:val="24"/>
          <w:szCs w:val="24"/>
        </w:rPr>
        <w:t>The number of predicted ARGs by ONN4ARG that have protein domains with known catalytic activity and/or may bind to the antimicrobials they are predicted to elicit resistance against.</w:t>
      </w:r>
      <w:bookmarkEnd w:id="1"/>
    </w:p>
    <w:tbl>
      <w:tblPr>
        <w:tblStyle w:val="a7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3"/>
        <w:gridCol w:w="1877"/>
        <w:gridCol w:w="1879"/>
        <w:gridCol w:w="1879"/>
        <w:gridCol w:w="1879"/>
        <w:gridCol w:w="1879"/>
        <w:gridCol w:w="1879"/>
      </w:tblGrid>
      <w:tr w:rsidR="003C4FDA" w:rsidRPr="003C4FDA" w14:paraId="41797374" w14:textId="77777777" w:rsidTr="003C4FDA">
        <w:trPr>
          <w:trHeight w:val="284"/>
        </w:trPr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</w:tcPr>
          <w:p w14:paraId="0753EA88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12" w:space="0" w:color="auto"/>
              <w:bottom w:val="single" w:sz="4" w:space="0" w:color="auto"/>
            </w:tcBorders>
          </w:tcPr>
          <w:p w14:paraId="39591E3A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2AE9611A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Soil</w:t>
            </w:r>
          </w:p>
        </w:tc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563EE79A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proofErr w:type="spellStart"/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GutM</w:t>
            </w:r>
            <w:proofErr w:type="spellEnd"/>
          </w:p>
        </w:tc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4647F1E3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proofErr w:type="spellStart"/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GutD</w:t>
            </w:r>
            <w:proofErr w:type="spellEnd"/>
          </w:p>
        </w:tc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51175D5E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Oral</w:t>
            </w:r>
          </w:p>
        </w:tc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0865B911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Skin</w:t>
            </w:r>
          </w:p>
        </w:tc>
      </w:tr>
      <w:tr w:rsidR="003C4FDA" w:rsidRPr="003C4FDA" w14:paraId="1F80EF98" w14:textId="77777777" w:rsidTr="003C4FDA">
        <w:trPr>
          <w:trHeight w:val="284"/>
        </w:trPr>
        <w:tc>
          <w:tcPr>
            <w:tcW w:w="1701" w:type="dxa"/>
          </w:tcPr>
          <w:p w14:paraId="6B4EFE68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No. ARGs-CDD</w:t>
            </w:r>
          </w:p>
        </w:tc>
        <w:tc>
          <w:tcPr>
            <w:tcW w:w="1100" w:type="dxa"/>
          </w:tcPr>
          <w:p w14:paraId="5082D0BE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40,899</w:t>
            </w:r>
          </w:p>
        </w:tc>
        <w:tc>
          <w:tcPr>
            <w:tcW w:w="1101" w:type="dxa"/>
          </w:tcPr>
          <w:p w14:paraId="458EF7B1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38,467</w:t>
            </w:r>
          </w:p>
        </w:tc>
        <w:tc>
          <w:tcPr>
            <w:tcW w:w="1101" w:type="dxa"/>
          </w:tcPr>
          <w:p w14:paraId="18C12602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12,914</w:t>
            </w:r>
          </w:p>
        </w:tc>
        <w:tc>
          <w:tcPr>
            <w:tcW w:w="1101" w:type="dxa"/>
          </w:tcPr>
          <w:p w14:paraId="44DBD2FF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23,981</w:t>
            </w:r>
          </w:p>
        </w:tc>
        <w:tc>
          <w:tcPr>
            <w:tcW w:w="1101" w:type="dxa"/>
          </w:tcPr>
          <w:p w14:paraId="403A6A49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2,467</w:t>
            </w:r>
          </w:p>
        </w:tc>
        <w:tc>
          <w:tcPr>
            <w:tcW w:w="1101" w:type="dxa"/>
          </w:tcPr>
          <w:p w14:paraId="1C0C50B5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454</w:t>
            </w:r>
          </w:p>
        </w:tc>
      </w:tr>
      <w:tr w:rsidR="003C4FDA" w:rsidRPr="003C4FDA" w14:paraId="5CD7688A" w14:textId="77777777" w:rsidTr="003C4FDA">
        <w:trPr>
          <w:trHeight w:val="284"/>
        </w:trPr>
        <w:tc>
          <w:tcPr>
            <w:tcW w:w="1701" w:type="dxa"/>
          </w:tcPr>
          <w:p w14:paraId="30746AC5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No. ARGs</w:t>
            </w:r>
          </w:p>
        </w:tc>
        <w:tc>
          <w:tcPr>
            <w:tcW w:w="1100" w:type="dxa"/>
          </w:tcPr>
          <w:p w14:paraId="7D30C527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41,082</w:t>
            </w:r>
          </w:p>
        </w:tc>
        <w:tc>
          <w:tcPr>
            <w:tcW w:w="1101" w:type="dxa"/>
          </w:tcPr>
          <w:p w14:paraId="53087535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39,553</w:t>
            </w:r>
          </w:p>
        </w:tc>
        <w:tc>
          <w:tcPr>
            <w:tcW w:w="1101" w:type="dxa"/>
          </w:tcPr>
          <w:p w14:paraId="06855ED4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12,971</w:t>
            </w:r>
          </w:p>
        </w:tc>
        <w:tc>
          <w:tcPr>
            <w:tcW w:w="1101" w:type="dxa"/>
          </w:tcPr>
          <w:p w14:paraId="4593A60F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24,154</w:t>
            </w:r>
          </w:p>
        </w:tc>
        <w:tc>
          <w:tcPr>
            <w:tcW w:w="1101" w:type="dxa"/>
          </w:tcPr>
          <w:p w14:paraId="4C566C62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2,500</w:t>
            </w:r>
          </w:p>
        </w:tc>
        <w:tc>
          <w:tcPr>
            <w:tcW w:w="1101" w:type="dxa"/>
          </w:tcPr>
          <w:p w14:paraId="2A88CAC3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466</w:t>
            </w:r>
          </w:p>
        </w:tc>
      </w:tr>
      <w:tr w:rsidR="003C4FDA" w:rsidRPr="003C4FDA" w14:paraId="60F43958" w14:textId="77777777" w:rsidTr="003C4FDA">
        <w:trPr>
          <w:trHeight w:val="284"/>
        </w:trPr>
        <w:tc>
          <w:tcPr>
            <w:tcW w:w="1701" w:type="dxa"/>
            <w:tcBorders>
              <w:bottom w:val="single" w:sz="12" w:space="0" w:color="auto"/>
            </w:tcBorders>
          </w:tcPr>
          <w:p w14:paraId="4ED25DD5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1100" w:type="dxa"/>
            <w:tcBorders>
              <w:bottom w:val="single" w:sz="12" w:space="0" w:color="auto"/>
            </w:tcBorders>
          </w:tcPr>
          <w:p w14:paraId="77669D33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99.56%</w:t>
            </w:r>
          </w:p>
        </w:tc>
        <w:tc>
          <w:tcPr>
            <w:tcW w:w="1101" w:type="dxa"/>
            <w:tcBorders>
              <w:bottom w:val="single" w:sz="12" w:space="0" w:color="auto"/>
            </w:tcBorders>
          </w:tcPr>
          <w:p w14:paraId="36A9B227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97.25%</w:t>
            </w:r>
          </w:p>
        </w:tc>
        <w:tc>
          <w:tcPr>
            <w:tcW w:w="1101" w:type="dxa"/>
            <w:tcBorders>
              <w:bottom w:val="single" w:sz="12" w:space="0" w:color="auto"/>
            </w:tcBorders>
          </w:tcPr>
          <w:p w14:paraId="27244920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99.56%</w:t>
            </w:r>
          </w:p>
        </w:tc>
        <w:tc>
          <w:tcPr>
            <w:tcW w:w="1101" w:type="dxa"/>
            <w:tcBorders>
              <w:bottom w:val="single" w:sz="12" w:space="0" w:color="auto"/>
            </w:tcBorders>
          </w:tcPr>
          <w:p w14:paraId="36162AFD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99.28%</w:t>
            </w:r>
          </w:p>
        </w:tc>
        <w:tc>
          <w:tcPr>
            <w:tcW w:w="1101" w:type="dxa"/>
            <w:tcBorders>
              <w:bottom w:val="single" w:sz="12" w:space="0" w:color="auto"/>
            </w:tcBorders>
          </w:tcPr>
          <w:p w14:paraId="0B7C0800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98.68%</w:t>
            </w:r>
          </w:p>
        </w:tc>
        <w:tc>
          <w:tcPr>
            <w:tcW w:w="1101" w:type="dxa"/>
            <w:tcBorders>
              <w:bottom w:val="single" w:sz="12" w:space="0" w:color="auto"/>
            </w:tcBorders>
          </w:tcPr>
          <w:p w14:paraId="304BA48B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97.42%</w:t>
            </w:r>
          </w:p>
        </w:tc>
      </w:tr>
    </w:tbl>
    <w:p w14:paraId="42CB2484" w14:textId="1448BE70" w:rsidR="00F83C0F" w:rsidRPr="003C4FDA" w:rsidRDefault="003C4FDA">
      <w:pPr>
        <w:rPr>
          <w:sz w:val="24"/>
          <w:szCs w:val="24"/>
        </w:rPr>
      </w:pPr>
      <w:r w:rsidRPr="003C4FDA">
        <w:rPr>
          <w:rFonts w:ascii="Times New Roman" w:eastAsia="等线" w:hAnsi="Times New Roman" w:cs="Times New Roman"/>
          <w:i/>
          <w:sz w:val="24"/>
          <w:szCs w:val="24"/>
        </w:rPr>
        <w:t>Note</w:t>
      </w:r>
      <w:r w:rsidRPr="003C4FDA">
        <w:rPr>
          <w:rFonts w:ascii="Times New Roman" w:eastAsia="等线" w:hAnsi="Times New Roman" w:cs="Times New Roman"/>
          <w:sz w:val="24"/>
          <w:szCs w:val="24"/>
        </w:rPr>
        <w:t>: No. ARGs, number of predicted ARGs by ONN4ARG; No. ARGs-CDD, number of predicted ARGs by ONN4</w:t>
      </w:r>
      <w:r w:rsidRPr="003C4FDA">
        <w:rPr>
          <w:rFonts w:ascii="Times New Roman" w:eastAsia="等线" w:hAnsi="Times New Roman" w:cs="Times New Roman" w:hint="eastAsia"/>
          <w:sz w:val="24"/>
          <w:szCs w:val="24"/>
        </w:rPr>
        <w:t>ARG</w:t>
      </w:r>
      <w:r w:rsidRPr="003C4FDA">
        <w:rPr>
          <w:rFonts w:ascii="Times New Roman" w:eastAsia="等线" w:hAnsi="Times New Roman" w:cs="Times New Roman"/>
          <w:sz w:val="24"/>
          <w:szCs w:val="24"/>
        </w:rPr>
        <w:t xml:space="preserve"> that have protein domains with known catalytic activity and/or may bind to the antimicrobials they are predicted to elicit resistance against, protein domains are predicted by searching the conserved domain database (CDD) using RPS-BLAST tool; Ratio, No. ARGs-CDD / No. ARGs.</w:t>
      </w:r>
    </w:p>
    <w:sectPr w:rsidR="00F83C0F" w:rsidRPr="003C4FDA" w:rsidSect="003C4F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84460" w14:textId="77777777" w:rsidR="00FF0E8C" w:rsidRDefault="00FF0E8C" w:rsidP="003C4FDA">
      <w:r>
        <w:separator/>
      </w:r>
    </w:p>
  </w:endnote>
  <w:endnote w:type="continuationSeparator" w:id="0">
    <w:p w14:paraId="7054B28C" w14:textId="77777777" w:rsidR="00FF0E8C" w:rsidRDefault="00FF0E8C" w:rsidP="003C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A22A2" w14:textId="77777777" w:rsidR="00FF0E8C" w:rsidRDefault="00FF0E8C" w:rsidP="003C4FDA">
      <w:r>
        <w:separator/>
      </w:r>
    </w:p>
  </w:footnote>
  <w:footnote w:type="continuationSeparator" w:id="0">
    <w:p w14:paraId="61B99862" w14:textId="77777777" w:rsidR="00FF0E8C" w:rsidRDefault="00FF0E8C" w:rsidP="003C4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A8"/>
    <w:rsid w:val="002B3F25"/>
    <w:rsid w:val="003C4FDA"/>
    <w:rsid w:val="004412A8"/>
    <w:rsid w:val="006F68A4"/>
    <w:rsid w:val="00D2695B"/>
    <w:rsid w:val="00F83C0F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72790"/>
  <w15:chartTrackingRefBased/>
  <w15:docId w15:val="{41AADD6F-2B1D-472D-A2DF-B5F496BD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D2695B"/>
    <w:pPr>
      <w:widowControl/>
      <w:shd w:val="clear" w:color="auto" w:fill="F9F9F9"/>
      <w:wordWrap w:val="0"/>
      <w:spacing w:before="100" w:beforeAutospacing="1" w:after="100" w:afterAutospacing="1" w:line="420" w:lineRule="atLeast"/>
      <w:jc w:val="left"/>
    </w:pPr>
    <w:rPr>
      <w:rFonts w:ascii="MicrosoftYaHei" w:eastAsia="宋体" w:hAnsi="MicrosoftYaHei" w:cs="宋体"/>
      <w:color w:val="FF0000"/>
      <w:kern w:val="0"/>
      <w:szCs w:val="21"/>
    </w:rPr>
  </w:style>
  <w:style w:type="character" w:customStyle="1" w:styleId="10">
    <w:name w:val="样式1 字符"/>
    <w:basedOn w:val="a0"/>
    <w:link w:val="1"/>
    <w:rsid w:val="00D2695B"/>
    <w:rPr>
      <w:rFonts w:ascii="MicrosoftYaHei" w:eastAsia="宋体" w:hAnsi="MicrosoftYaHei" w:cs="宋体"/>
      <w:color w:val="FF0000"/>
      <w:kern w:val="0"/>
      <w:szCs w:val="21"/>
      <w:shd w:val="clear" w:color="auto" w:fill="F9F9F9"/>
    </w:rPr>
  </w:style>
  <w:style w:type="paragraph" w:styleId="a3">
    <w:name w:val="header"/>
    <w:basedOn w:val="a"/>
    <w:link w:val="a4"/>
    <w:uiPriority w:val="99"/>
    <w:unhideWhenUsed/>
    <w:rsid w:val="003C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FDA"/>
    <w:rPr>
      <w:sz w:val="18"/>
      <w:szCs w:val="18"/>
    </w:rPr>
  </w:style>
  <w:style w:type="table" w:styleId="a7">
    <w:name w:val="Table Grid"/>
    <w:basedOn w:val="a1"/>
    <w:uiPriority w:val="39"/>
    <w:rsid w:val="003C4FD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4</cp:revision>
  <dcterms:created xsi:type="dcterms:W3CDTF">2022-09-12T11:41:00Z</dcterms:created>
  <dcterms:modified xsi:type="dcterms:W3CDTF">2022-10-31T09:16:00Z</dcterms:modified>
</cp:coreProperties>
</file>