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Signal to Signature</w:t>
      </w:r>
    </w:p>
    <w:p>
      <w:pPr>
        <w:spacing w:after="40"/>
      </w:pPr>
      <w:r>
        <w:rPr>
          <w:i/>
          <w:iCs/>
          <w:color w:val="5D645F"/>
          <w:sz w:val="24"/>
          <w:szCs w:val="24"/>
        </w:rPr>
        <w:t>A full-stack platform for the radio-frequency story of a lightweight structure: waveguide loss, mass and launch cost; horn-antenna gain and patterns; reflection loss from measured permittivity and permeability; and the radar cross section of an imported 3-D CAD model — analytical and instant, validated against openEMS full-wave FDTD.</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3.8</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p>
      <w:r>
        <w:t>Version 3.8 also makes the platform installable and genuinely usable on a phone or iPad. Served over an HTTPS link it is a progressive web app: Add to Home Screen (iOS) or Install app (Android) launches it full-screen with its own icon, the shell is cached so it starts fast, and the solver endpoints are deliberately never cached so a Run on a phone always triggers a real solve on the host PC. On a mobile screen the desktop menu row is replaced by native navigation — a sticky top bar naming the current page, a fixed bottom tab bar for the four sections with a slide-up sheet of each section's pages, and a side drawer of every page opened by the hamburger or by swiping in from the left edge. The desktop layout is unchanged.</w:t>
      </w:r>
    </w:p>
    <w:p>
      <w:r>
        <w:t>Version 3.8 also went through a systematic reliability pass. An adversarial audit — dozens of independent agents, each finding then handed to a separate reviewer whose job was to disprove it — surfaced thirty confirmed defects, most of them of one kind: the platform could display one run's results under a later run's name. Every generated animation is now also published in a compressed format roughly nineteen times smaller, figures are cleared the moment a solve starts and only ever show media that loaded, cached curves a run did not refresh are dropped rather than relabelled, and the run manifest records the solver settings the run actually used. The audit also caught a candour problem worth stating plainly: asked for a result outside the frequencies a material had been measured over, the tool used to hold the permittivity and permeability at the nearest measured edge and present the answer as data. Such results are now marked extrapolated, excluded from headline figures and bandwidth calculations, and drawn as a distinct dashed curve.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