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t>Version 3.8 update — “how small does it look to radar?” and phone/iPad install</w:t>
      </w:r>
    </w:p>
    <w:p>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r>
        <w:t>On the RL tab you also get, per material, how small the same flat plate would have to be to echo as weakly (a plate's RCS goes as size to the fourth, so that ratio is the fourth root), plus a diagram of the real plate outline against that smaller equivalent plate.</w:t>
      </w:r>
    </w:p>
    <w:p>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r>
        <w:t>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starts fast and the analytical tabs keep working with a poor connection, but solver requests are never cached — a solve launched from a phone is always a fresh one.</w:t>
      </w:r>
    </w:p>
    <w:p>
      <w:r>
        <w:t>Native mobile navigation. On a phone or tablet (any screen up to 820 px wide, installed or in the browser) the desktop row of dropdown menus is replaced by the two bars a native app would use: a sticky top bar showing the hamburger and the name of the page you are on, and a fixed bottom tab bar for the four sections — Waveguide, Horn, RCS, More. Tapping a section slides up a sheet of the pages inside it. In addition, swiping right from the left edge of the screen — or tapping the hamburger — opens a side drawer listing every page in the tool, grouped, with the current one ticked. The drawer follows your finger and snaps open or shut, and a swipe that turns out to be a vertical scroll, or that starts on a chart, a 3-D view or a slider, is left alone. The desktop layout is completely unchanged.</w:t>
      </w:r>
    </w:p>
    <w:p>
      <w:r>
        <w:t>If the home-screen icon does not appear. iOS caches the icon at the moment you add the app, per icon address. After the host PC has pulled the latest version and the bridge has been restarted, delete the old home-screen icon, open the link again in Safari, let the page finish loading, and then add it once more from the Share menu.</w:t>
      </w:r>
    </w:p>
    <w:p>
      <w:r>
        <w:t>Reliability pass. A systematic hunt found and fixed a family of bugs where the tool could show you one run's numbers under a later run's name. The clearest one you may have seen: the field animations did not appear to update after a second solve. They are now published in a second, far smaller format as well (about nineteen times smaller for the same frames), a figure is blanked the moment you press Run, and it only ever shows media that actually loaded — with a plain message if it could not. Elsewhere: the Full-wave tab no longer keeps a chart or a summary from a run that did not produce it; the horn tab no longer replays an old time-domain animation when you ask for the frequency-domain view; the Run manifest records the mesh and frequency settings the run actually used rather than whatever the controls say when you press the button; the batch sweep reports which points failed and why instead of a cheerful “done”; and the progress bar no longer starts at the previous run's percentage.</w:t>
      </w:r>
    </w:p>
    <w:p>
      <w:r>
        <w:t>Honesty about frequency range. If you ask for a reflection loss, an optimal thickness or a comparison outside the frequencies your material was actually measured over, the tool now says so. Previously it held the permittivity and permeability at the nearest measured edge — reasonable in itself — but presented the answer as measured data, and in two places it also used the edge frequency while labelling the result with the frequency you asked for. Out-of-band answers are now marked extrapolated, lose any “absorbs 90 %” verdict, and on the Material library tab the extrapolated part of a curve is drawn dashed and excluded from the headline, the bandwidth and the target-frequency column. Materials entered as constant values legitimately apply across the whole band and are unaffected.</w:t>
      </w:r>
    </w:p>
    <w:p>
      <w:r>
        <w:t>Mobile fixes. The Simulations chooser was clipped so that only one of its eight options was visible, and it could not be scrolled to reach the rest — it now sizes itself to the space above the tab bar. The bottom sheet was drawn over the tab bar, so a tap aimed at a section landed on the wrong page. iPad portrait width was missing the large slider and text-size rules, so sliders were a hairline thick and focusing a field zoomed the page. The Compare detail panel could sit over an unrelated tab and its title could fall under the notch. All fixed; the desktop layout is unchanged.</w:t>
      </w:r>
    </w:p>
    <w:p>
      <w:r>
        <w:t>Shape improvement (new). The CAD-RCS tab can now search the geometry itself for a lower radar signature, not just the coating. Pick the radar direction you care about and it applies real deformations to your uploaded model — sharpening the nose, tapering the body, flattening the cross-section, sweeping the planform, canting or tilting the appendages — re-solves each candidate with the same physics used everywhere else, and reports what each one actually buys in decibels. It then stacks the best few and gives you the recipe with the reason for each step. Every candidate keeps the overall length, and the volume and diameter cost is reported, so nothing wins by quietly shrinking the vehicle. You can apply the winner to the model, revert it, or download it as an STL to take back into CAD. On the shipped rocket example it finds 14.5 dB in a 60-degree nose sector from tapering the body and canting the fins; on the stealth flying wing it finds 34.5 dB from sweeping the planform and boat-tailing the aft end.</w:t>
      </w:r>
    </w:p>
    <w:p>
      <w:r>
        <w:t>One shelf of materials. Materials you pin on the Reflection-loss tab are now the only list the RCS (openEMS) coating selector offers, and each coated-material box on the Reflection-loss tab can load any of them directly. When you pin, you say whether it is a coating on metal or a solid block, and that is shown wherever the material is named. Apply-to-all on the CAD tab shows the material's values for editing before writing them to every part — change the thickness once instead of on every row — and your edits do not alter the saved library entry.</w:t>
      </w:r>
    </w:p>
    <w:p>
      <w:r>
        <w:t>Easier to use. Every Run, Compute and Download button is bright green. The CAD Compute button also floats at the edge of the screen so it stays reachable on a long results page. On a phone the long introduction now collapses to the title after your first navigation, with a chip to bring it back, so the controls are not pushed a screen and a half down. The RCS menu is called RCS + RL, the two sweep tabs are named for what they do, and Materials now sits in both the Waveguide and Horn menus. Three defence-oriented example models were added, including a 90-degree corner that this tool deliberately under-reports — it is there so the no-multiple-bounce limitation is something you can see.</w:t>
      </w:r>
    </w:p>
    <w:p>
      <w:r>
        <w:t>Shape suggestions are now checked for viability (new in 4.0). Every candidate shape the search tries is audited before it is scored, and thrown out if it is not a real object: if it folds the surface through itself, squashes triangles flat, loses more internal volume than you allow, balloons in size, changes the outside area beyond reason, flattens a part to under a third of one of its dimensions, or pushes a fin or wing into the fuselage. Rejections appear under the results table, each one naming the change, the setting and the part involved — click “show why” to read them. The status line tells you how many were rejected, so you can see whether your constraints are too tight. The volume budget you set is measured against your ORIGINAL model, not the previous stage, so a change that was allowed on its own can be refused once an earlier one is already in the recipe. Raise “Volume you can afford to lose” if you want the search to range further.</w:t>
      </w:r>
    </w:p>
    <w:p>
      <w:r>
        <w:t>What that check does not cover. It is a check on the geometry only. It cannot tell you whether the shape will fly, carry its loads, fit its contents, stay controllable, survive the heat, or be manufacturable. Treat a winning shape as a direction worth taking to your aerodynamics and structures colleagues, not as a finished design. The panel says so as well.</w:t>
      </w:r>
    </w:p>
    <w:p>
      <w:r>
        <w:t>Rotating GIF and interactive 3-D view (new in 4.0). The green “Rotating GIF” button on the CAD-RCS tab records a full turn of the coloured model as an animated GIF you can drop straight into a slide or a report; it plays anywhere with nothing to install. The Download-all archive also contains model_3D_rotating.html, a single file that spins by itself and lets you drag left and right to turn the model by hand, or pause it with the button. Everything is embedded in that file, so it works with no internet connection.</w:t>
      </w:r>
    </w:p>
    <w:p>
      <w:r>
        <w:t>Solid bodies no longer offer coatings (new in 4.0). On the RCS (openEMS) tab, the material list now matches the construction you picked. “Metal + coating” offers only materials you pinned as coatings; “Solid material” offers only those you pinned as solid bodies; “Bare metal (PEC)” needs no material at all. That is a physics distinction, not tidiness: a coating’s reflection loss is measured with metal behind it, which is why the absorber works, so using a thin film as a solid block would be asking a different question. If a list looks empty, nothing has been pinned for that construction yet — pin one on the Reflection-loss tab and choose the right kind there, or type the values under “Custom material”.</w:t>
      </w:r>
    </w:p>
    <w:p>
      <w:r>
        <w:t>Rotating exports, corrected (4.0). The rotating GIF and the interactive page were showing a stationary object: the capture recoloured the model at each look angle but never turned it. Both now rotate the geometry itself through a full circle. The model is laid out along its longest dimension so nothing is cut off at the edges, the framing is computed from the camera's field of view rather than estimated, every export is rendered at the same frame size so it looks identical on any machine, and surfaces facing away from the radar are shaded light enough to stay visible for the whole turn. The colours are the echo contribution at the worst-case look angle and belong to the surface, so they turn with the model.</w:t>
      </w:r>
    </w:p>
    <w:p>
      <w:r>
        <w:t>Clearer wording throughout. Two reviews went over every message the tool shows you. Messages that used to say “see console” now name what failed and where the real log is — the browser console cannot be opened at all when the tool is installed as an app on a phone or tablet. Two pages that told you to start the solver while the solver was already serving the page now check and report what is actually true. “Exact” has been removed from five descriptions of a method that is approximate at grazing angles. Naming a material no longer opens a pop-up asking for something you already typed. And the written instructions now cover all twenty-one pages rather than ten, with the correct setup procedure.</w:t>
      </w:r>
    </w:p>
    <w:p>
      <w:r>
        <w:t>What the full-wave solver produces. The three figures below are unedited output from real solves, at the size the tool saves them.</w:t>
      </w:r>
    </w:p>
    <w:p>
      <w:pPr>
        <w:jc w:val="center"/>
      </w:pPr>
      <w:r>
        <w:drawing>
          <wp:inline xmlns:a="http://schemas.openxmlformats.org/drawingml/2006/main" xmlns:pic="http://schemas.openxmlformats.org/drawingml/2006/picture">
            <wp:extent cx="5760720" cy="1911512"/>
            <wp:docPr id="1" name="Picture 1"/>
            <wp:cNvGraphicFramePr>
              <a:graphicFrameLocks noChangeAspect="1"/>
            </wp:cNvGraphicFramePr>
            <a:graphic>
              <a:graphicData uri="http://schemas.openxmlformats.org/drawingml/2006/picture">
                <pic:pic>
                  <pic:nvPicPr>
                    <pic:cNvPr id="0" name="fig_waveguide_field.png"/>
                    <pic:cNvPicPr/>
                  </pic:nvPicPr>
                  <pic:blipFill>
                    <a:blip r:embed="rId9"/>
                    <a:stretch>
                      <a:fillRect/>
                    </a:stretch>
                  </pic:blipFill>
                  <pic:spPr>
                    <a:xfrm>
                      <a:off x="0" y="0"/>
                      <a:ext cx="5760720" cy="1911512"/>
                    </a:xfrm>
                    <a:prstGeom prst="rect"/>
                  </pic:spPr>
                </pic:pic>
              </a:graphicData>
            </a:graphic>
          </wp:inline>
        </w:drawing>
      </w:r>
    </w:p>
    <w:p>
      <w:pPr>
        <w:jc w:val="center"/>
      </w:pPr>
      <w:r>
        <w:rPr>
          <w:i/>
          <w:sz w:val="18"/>
        </w:rPr>
        <w:t>A guided wave inside a lightweight coated waveguide (X-band). Bright is signal being carried; the fading toward the walls is power being lost into them.</w:t>
      </w:r>
    </w:p>
    <w:p>
      <w:pPr>
        <w:jc w:val="center"/>
      </w:pPr>
      <w:r>
        <w:drawing>
          <wp:inline xmlns:a="http://schemas.openxmlformats.org/drawingml/2006/main" xmlns:pic="http://schemas.openxmlformats.org/drawingml/2006/picture">
            <wp:extent cx="5394960" cy="2551670"/>
            <wp:docPr id="2" name="Picture 2"/>
            <wp:cNvGraphicFramePr>
              <a:graphicFrameLocks noChangeAspect="1"/>
            </wp:cNvGraphicFramePr>
            <a:graphic>
              <a:graphicData uri="http://schemas.openxmlformats.org/drawingml/2006/picture">
                <pic:pic>
                  <pic:nvPicPr>
                    <pic:cNvPr id="0" name="fig_horn_field.png"/>
                    <pic:cNvPicPr/>
                  </pic:nvPicPr>
                  <pic:blipFill>
                    <a:blip r:embed="rId10"/>
                    <a:stretch>
                      <a:fillRect/>
                    </a:stretch>
                  </pic:blipFill>
                  <pic:spPr>
                    <a:xfrm>
                      <a:off x="0" y="0"/>
                      <a:ext cx="5394960" cy="2551670"/>
                    </a:xfrm>
                    <a:prstGeom prst="rect"/>
                  </pic:spPr>
                </pic:pic>
              </a:graphicData>
            </a:graphic>
          </wp:inline>
        </w:drawing>
      </w:r>
    </w:p>
    <w:p>
      <w:pPr>
        <w:jc w:val="center"/>
      </w:pPr>
      <w:r>
        <w:rPr>
          <w:i/>
          <w:sz w:val="18"/>
        </w:rPr>
        <w:t>A horn antenna on a decibel scale. The signal enters the narrow feed at left, widens through the flare, and leaves the mouth as curved wavefronts — that is the beam.</w:t>
      </w:r>
    </w:p>
    <w:p>
      <w:pPr>
        <w:jc w:val="center"/>
      </w:pPr>
      <w:r>
        <w:drawing>
          <wp:inline xmlns:a="http://schemas.openxmlformats.org/drawingml/2006/main" xmlns:pic="http://schemas.openxmlformats.org/drawingml/2006/picture">
            <wp:extent cx="3840480" cy="2886179"/>
            <wp:docPr id="3" name="Picture 3"/>
            <wp:cNvGraphicFramePr>
              <a:graphicFrameLocks noChangeAspect="1"/>
            </wp:cNvGraphicFramePr>
            <a:graphic>
              <a:graphicData uri="http://schemas.openxmlformats.org/drawingml/2006/picture">
                <pic:pic>
                  <pic:nvPicPr>
                    <pic:cNvPr id="0" name="fig_rcs_field.png"/>
                    <pic:cNvPicPr/>
                  </pic:nvPicPr>
                  <pic:blipFill>
                    <a:blip r:embed="rId11"/>
                    <a:stretch>
                      <a:fillRect/>
                    </a:stretch>
                  </pic:blipFill>
                  <pic:spPr>
                    <a:xfrm>
                      <a:off x="0" y="0"/>
                      <a:ext cx="3840480" cy="2886179"/>
                    </a:xfrm>
                    <a:prstGeom prst="rect"/>
                  </pic:spPr>
                </pic:pic>
              </a:graphicData>
            </a:graphic>
          </wp:inline>
        </w:drawing>
      </w:r>
    </w:p>
    <w:p>
      <w:pPr>
        <w:jc w:val="center"/>
      </w:pPr>
      <w:r>
        <w:rPr>
          <w:i/>
          <w:sz w:val="18"/>
        </w:rPr>
        <w:t>Radar hitting a coated sphere. You can see the wave piling up in front of it, the quiet shadow behind, and the lobe bouncing back toward the radar — that returning lobe is what a coating is trying to remove.</w:t>
      </w:r>
    </w:p>
    <w:p>
      <w:pPr>
        <w:pStyle w:val="Heading1"/>
      </w:pPr>
      <w:r>
        <w:rPr>
          <w:color w:val="0B6E54"/>
        </w:rPr>
        <w:t>Document maintenance</w:t>
      </w:r>
    </w:p>
    <w:p>
      <w:r>
        <w:t>This guide matches software version 4.0.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