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E54"/>
        </w:rPr>
        <w:t>Signal to Signature</w:t>
      </w:r>
    </w:p>
    <w:p>
      <w:r>
        <w:t>A simulation platform for lightweight radio-frequency structures: waveguide loss, mass and launch cost; horn-antenna gain and pattern; radar-absorber reflection loss from measured material data; and the radar cross section of a real three-dimensional model, part by part.</w:t>
      </w:r>
    </w:p>
    <w:p>
      <w:r>
        <w:rPr>
          <w:b/>
          <w:sz w:val="20"/>
        </w:rPr>
        <w:t>Huzaifa Taha Rangwala</w:t>
      </w:r>
      <w:r>
        <w:rPr>
          <w:sz w:val="20"/>
        </w:rPr>
        <w:t xml:space="preserve">  ·  UC Berkeley (Mathematics + Computer Science)  ·  Space Materials Lab, Khalifa University, Abu Dhabi</w:t>
        <w:br/>
        <w:t>Version 4.0  ·  contact: huzaifataha54@berkeley.edu</w:t>
      </w:r>
    </w:p>
    <w:p>
      <w:pPr>
        <w:pStyle w:val="Heading1"/>
      </w:pPr>
      <w:r>
        <w:rPr>
          <w:color w:val="0B6E54"/>
        </w:rPr>
        <w:t>1. The research question</w:t>
      </w:r>
    </w:p>
    <w:p>
      <w:r>
        <w:t>A satellite routes its radar and communications signals through waveguides — hollow metal channels, normally solid copper or aluminium. Electrically they are excellent. The problem is mass: every kilogram lifted to orbit costs thousands of dollars, and a spacecraft carries metres of guide.</w:t>
      </w:r>
    </w:p>
    <w:p>
      <w:r>
        <w:t>The question this work addresses is whether a light structure carrying a thin conductive film can do the same job. A microwave travelling inside a waveguide only penetrates the wall by a skin depth — well under a micrometre at these frequencies — so in principle the bulk of the metal is dead mass. The flagship candidate is MXene (Ti₃C₂Tₓ) on basswood: wood-light, metal-like on the inside.</w:t>
      </w:r>
    </w:p>
    <w:p>
      <w:r>
        <w:t>Answering it by hand is impractical. Each candidate has to be evaluated across three satellite bands, several coating thicknesses and a range of conductivities, and each rigorous check is a three-dimensional electromagnetic simulation. The same physics also governs three neighbouring questions: how an antenna built from that material performs, how much radar energy an absorbing coating removes, and what radar signature a finished vehicle presents. This platform answers all four from one workflow.</w:t>
      </w:r>
    </w:p>
    <w:p>
      <w:pPr>
        <w:pStyle w:val="Heading1"/>
      </w:pPr>
      <w:r>
        <w:rPr>
          <w:color w:val="0B6E54"/>
        </w:rPr>
        <w:t>2. Two engines, always shown together</w:t>
      </w:r>
    </w:p>
    <w:p>
      <w:r>
        <w:t>Every quantity the platform reports comes from one of two engines, and wherever both can answer, both are plotted on the same axes.</w:t>
      </w:r>
    </w:p>
    <w:p>
      <w:pPr>
        <w:pStyle w:val="ListBullet"/>
      </w:pPr>
      <w:r>
        <w:t>An analytical engine of closed-form microwave physics, implemented in the browser. It returns loss, mass, cost and signature in milliseconds, so a slider can be swept and thousands of candidate designs evaluated in seconds. It is exact where the geometry is canonical and approximate where it is not, and the platform says which.</w:t>
      </w:r>
    </w:p>
    <w:p>
      <w:pPr>
        <w:pStyle w:val="ListBullet"/>
      </w:pPr>
      <w:r>
        <w:t>A full-wave engine: openEMS, a finite-difference time-domain Maxwell solver, driven automatically. The browser posts a configuration to a local Python/Flask bridge, which writes a parameter file, launches GNU Octave to build the geometry, mesh, ports and excitation, runs the solve, post-processes the field dumps in Python, and returns charts, field animations and raw CSV. Six distinct full-wave analyses are available. A run takes one to three minutes.</w:t>
      </w:r>
    </w:p>
    <w:p>
      <w:r>
        <w:t>The analytical curve is drawn dashed and the full-wave curve solid, so their agreement — or disagreement — is visible rather than asserted. This is the central design decision of the platform: a fast model you can explore, and a rigorous solve you can trust, shown side by side.</w:t>
      </w:r>
    </w:p>
    <w:p>
      <w:pPr>
        <w:jc w:val="center"/>
      </w:pPr>
      <w:r>
        <w:drawing>
          <wp:inline xmlns:a="http://schemas.openxmlformats.org/drawingml/2006/main" xmlns:pic="http://schemas.openxmlformats.org/drawingml/2006/picture">
            <wp:extent cx="5486400" cy="1820487"/>
            <wp:docPr id="1" name="Picture 1"/>
            <wp:cNvGraphicFramePr>
              <a:graphicFrameLocks noChangeAspect="1"/>
            </wp:cNvGraphicFramePr>
            <a:graphic>
              <a:graphicData uri="http://schemas.openxmlformats.org/drawingml/2006/picture">
                <pic:pic>
                  <pic:nvPicPr>
                    <pic:cNvPr id="0" name="fig_waveguide_field.png"/>
                    <pic:cNvPicPr/>
                  </pic:nvPicPr>
                  <pic:blipFill>
                    <a:blip r:embed="rId9"/>
                    <a:stretch>
                      <a:fillRect/>
                    </a:stretch>
                  </pic:blipFill>
                  <pic:spPr>
                    <a:xfrm>
                      <a:off x="0" y="0"/>
                      <a:ext cx="5486400" cy="1820487"/>
                    </a:xfrm>
                    <a:prstGeom prst="rect"/>
                  </pic:spPr>
                </pic:pic>
              </a:graphicData>
            </a:graphic>
          </wp:inline>
        </w:drawing>
      </w:r>
    </w:p>
    <w:p>
      <w:pPr>
        <w:jc w:val="center"/>
      </w:pPr>
      <w:r>
        <w:rPr>
          <w:i/>
          <w:sz w:val="18"/>
        </w:rPr>
        <w:t>Figure 1 — Guided wave inside a lightweight coated waveguide, X-band. Peak electric-field envelope from a three-dimensional openEMS solve. Brightness is signal carried; the fade toward the walls is power lost into them. Produced automatically from a single click in the browser.</w:t>
      </w:r>
    </w:p>
    <w:p>
      <w:pPr>
        <w:keepNext/>
        <w:spacing w:before="200" w:after="80"/>
        <w:jc w:val="center"/>
      </w:pPr>
      <w:r>
        <w:drawing>
          <wp:inline xmlns:a="http://schemas.openxmlformats.org/drawingml/2006/main" xmlns:pic="http://schemas.openxmlformats.org/drawingml/2006/picture">
            <wp:extent cx="5486400" cy="1351776"/>
            <wp:docPr id="4" name="Picture 4"/>
            <wp:cNvGraphicFramePr>
              <a:graphicFrameLocks noChangeAspect="1"/>
            </wp:cNvGraphicFramePr>
            <a:graphic>
              <a:graphicData uri="http://schemas.openxmlformats.org/drawingml/2006/picture">
                <pic:pic>
                  <pic:nvPicPr>
                    <pic:cNvPr id="0" name="fw_overlay.png"/>
                    <pic:cNvPicPr/>
                  </pic:nvPicPr>
                  <pic:blipFill>
                    <a:blip r:embed="rId12"/>
                    <a:stretch>
                      <a:fillRect/>
                    </a:stretch>
                  </pic:blipFill>
                  <pic:spPr>
                    <a:xfrm>
                      <a:off x="0" y="0"/>
                      <a:ext cx="5486400" cy="1351776"/>
                    </a:xfrm>
                    <a:prstGeom prst="rect"/>
                  </pic:spPr>
                </pic:pic>
              </a:graphicData>
            </a:graphic>
          </wp:inline>
        </w:drawing>
      </w:r>
    </w:p>
    <w:p>
      <w:pPr>
        <w:spacing w:after="280"/>
        <w:jc w:val="center"/>
      </w:pPr>
      <w:r>
        <w:rPr>
          <w:i/>
          <w:color w:val="444444"/>
          <w:sz w:val="18"/>
        </w:rPr>
        <w:t>Figure 2 — The two engines on one pair of axes, Full-wave tab. Insertion loss along a 173.5 mm MXene-coated basswood guide across X-band: the dashed curve is the closed-form model, the solid curve is the openEMS FDTD solve loaded straight from the run. Both sit near 0.1 dB over the length; the ripple on the full-wave trace is the small reflection echo a finite mesh produces. Nothing is fitted — the agreement is the check.</w:t>
      </w:r>
    </w:p>
    <w:p>
      <w:pPr>
        <w:pStyle w:val="Heading1"/>
      </w:pPr>
      <w:r>
        <w:rPr>
          <w:color w:val="0B6E54"/>
        </w:rPr>
        <w:t>3. The four domains</w:t>
      </w:r>
    </w:p>
    <w:p>
      <w:pPr>
        <w:pStyle w:val="Heading2"/>
      </w:pPr>
      <w:r>
        <w:rPr>
          <w:color w:val="0B6E54"/>
        </w:rPr>
        <w:t>3.1  Waveguides — loss, mass and launch cost</w:t>
      </w:r>
    </w:p>
    <w:p>
      <w:r>
        <w:t>The physics is the TE₁₀ mode of a rectangular guide. Conductor attenuation follows from the wall surface resistance, which follows from the skin depth, which follows from conductivity and frequency. Because the candidate walls are thin films rather than bulk metal, the model carries a finite-thickness correction: when the coating is thinner than a skin depth the field reaches the substrate and the loss rises steeply. Dielectric and magnetic loss are folded in through an effective conductivity, and multilayer coatings are handled by a transfer-matrix stack.</w:t>
      </w:r>
    </w:p>
    <w:p>
      <w:r>
        <w:t>Outputs are the four numbers a designer actually trades: attenuation in decibels per metre, mass in grams per metre, delivered-to-orbit cost in dollars per metre, and embodied carbon. Three satellite bands are covered — X (8–12 GHz, WR-90), Ku (12–18 GHz, WR-62) and K (18–27 GHz, WR-42).</w:t>
      </w:r>
    </w:p>
    <w:p>
      <w:r>
        <w:t>Three further tools sit on the same engine. Inverse design inverts the question: given a band and a maximum acceptable loss, it searches for the design that minimises mass, delivered cost or carbon, and returns the Pareto-optimal frontier rather than a single answer. A measurement bridge accepts a measured transmission curve from a vector network analyser (CSV or Touchstone .s2p) and inverts the loss model to extract the effective conductivity of a real fabricated sample, closing the loop between laboratory and simulation. A space-survivability screen applies two vacuum-specific first-order checks: multipaction susceptibility against the ECSS standard, and Stefan–Boltzmann wall temperature with no air to carry heat away.</w:t>
      </w:r>
    </w:p>
    <w:p>
      <w:r>
        <w:t>Because MXene’s reported conductivity spans two orders of magnitude, a single loss figure would be false precision. A Monte-Carlo pass propagates that spread and reports a confidence band instead.</w:t>
      </w:r>
    </w:p>
    <w:p>
      <w:pPr>
        <w:keepNext/>
        <w:spacing w:before="200" w:after="80"/>
        <w:jc w:val="center"/>
      </w:pPr>
      <w:r>
        <w:drawing>
          <wp:inline xmlns:a="http://schemas.openxmlformats.org/drawingml/2006/main" xmlns:pic="http://schemas.openxmlformats.org/drawingml/2006/picture">
            <wp:extent cx="5486400" cy="4273403"/>
            <wp:docPr id="5" name="Picture 5"/>
            <wp:cNvGraphicFramePr>
              <a:graphicFrameLocks noChangeAspect="1"/>
            </wp:cNvGraphicFramePr>
            <a:graphic>
              <a:graphicData uri="http://schemas.openxmlformats.org/drawingml/2006/picture">
                <pic:pic>
                  <pic:nvPicPr>
                    <pic:cNvPr id="0" name="sim_top.png"/>
                    <pic:cNvPicPr/>
                  </pic:nvPicPr>
                  <pic:blipFill>
                    <a:blip r:embed="rId13"/>
                    <a:stretch>
                      <a:fillRect/>
                    </a:stretch>
                  </pic:blipFill>
                  <pic:spPr>
                    <a:xfrm>
                      <a:off x="0" y="0"/>
                      <a:ext cx="5486400" cy="4273403"/>
                    </a:xfrm>
                    <a:prstGeom prst="rect"/>
                  </pic:spPr>
                </pic:pic>
              </a:graphicData>
            </a:graphic>
          </wp:inline>
        </w:drawing>
      </w:r>
    </w:p>
    <w:p>
      <w:pPr>
        <w:spacing w:after="280"/>
        <w:jc w:val="center"/>
      </w:pPr>
      <w:r>
        <w:rPr>
          <w:i/>
          <w:color w:val="444444"/>
          <w:sz w:val="18"/>
        </w:rPr>
        <w:t>Figure 3 — Analytical Simulator: inputs and derived quantities. Band, coat count, coating thickness, substrate wall, launch cost and run length on the left; the flagship result and twelve derived cards below. Every value recomputes in the same frame as the slider moves, so the trade can be felt rather than tabulated. Here MXene-coated basswood gives 0.83 dB/m at 95 % of copper's mass, and the break-even launch cost above which it wins outright is $135/kg.</w:t>
      </w:r>
    </w:p>
    <w:p>
      <w:pPr>
        <w:keepNext/>
        <w:spacing w:before="200" w:after="80"/>
        <w:jc w:val="center"/>
      </w:pPr>
      <w:r>
        <w:drawing>
          <wp:inline xmlns:a="http://schemas.openxmlformats.org/drawingml/2006/main" xmlns:pic="http://schemas.openxmlformats.org/drawingml/2006/picture">
            <wp:extent cx="5486400" cy="4430737"/>
            <wp:docPr id="6" name="Picture 6"/>
            <wp:cNvGraphicFramePr>
              <a:graphicFrameLocks noChangeAspect="1"/>
            </wp:cNvGraphicFramePr>
            <a:graphic>
              <a:graphicData uri="http://schemas.openxmlformats.org/drawingml/2006/picture">
                <pic:pic>
                  <pic:nvPicPr>
                    <pic:cNvPr id="0" name="sim_charts.png"/>
                    <pic:cNvPicPr/>
                  </pic:nvPicPr>
                  <pic:blipFill>
                    <a:blip r:embed="rId14"/>
                    <a:stretch>
                      <a:fillRect/>
                    </a:stretch>
                  </pic:blipFill>
                  <pic:spPr>
                    <a:xfrm>
                      <a:off x="0" y="0"/>
                      <a:ext cx="5486400" cy="4430737"/>
                    </a:xfrm>
                    <a:prstGeom prst="rect"/>
                  </pic:spPr>
                </pic:pic>
              </a:graphicData>
            </a:graphic>
          </wp:inline>
        </w:drawing>
      </w:r>
    </w:p>
    <w:p>
      <w:pPr>
        <w:spacing w:after="280"/>
        <w:jc w:val="center"/>
      </w:pPr>
      <w:r>
        <w:rPr>
          <w:i/>
          <w:color w:val="444444"/>
          <w:sz w:val="18"/>
        </w:rPr>
        <w:t>Figure 4 — Attenuation across the band, and the material comparison. The test material is plotted against solid copper and aluminium over the full waveguide band; the radar chart scores it on cost, lightness, electromagnetic performance and environmental impact. Four of the five axes are computed from the current run — the sustainability axis is a fixed author rating and is labelled as such, because it does not track a user-defined material.</w:t>
      </w:r>
    </w:p>
    <w:p>
      <w:pPr>
        <w:keepNext/>
        <w:spacing w:before="200" w:after="80"/>
        <w:jc w:val="center"/>
      </w:pPr>
      <w:r>
        <w:drawing>
          <wp:inline xmlns:a="http://schemas.openxmlformats.org/drawingml/2006/main" xmlns:pic="http://schemas.openxmlformats.org/drawingml/2006/picture">
            <wp:extent cx="5486400" cy="5154120"/>
            <wp:docPr id="7" name="Picture 7"/>
            <wp:cNvGraphicFramePr>
              <a:graphicFrameLocks noChangeAspect="1"/>
            </wp:cNvGraphicFramePr>
            <a:graphic>
              <a:graphicData uri="http://schemas.openxmlformats.org/drawingml/2006/picture">
                <pic:pic>
                  <pic:nvPicPr>
                    <pic:cNvPr id="0" name="fw_config.png"/>
                    <pic:cNvPicPr/>
                  </pic:nvPicPr>
                  <pic:blipFill>
                    <a:blip r:embed="rId15"/>
                    <a:stretch>
                      <a:fillRect/>
                    </a:stretch>
                  </pic:blipFill>
                  <pic:spPr>
                    <a:xfrm>
                      <a:off x="0" y="0"/>
                      <a:ext cx="5486400" cy="5154120"/>
                    </a:xfrm>
                    <a:prstGeom prst="rect"/>
                  </pic:spPr>
                </pic:pic>
              </a:graphicData>
            </a:graphic>
          </wp:inline>
        </w:drawing>
      </w:r>
    </w:p>
    <w:p>
      <w:pPr>
        <w:spacing w:after="280"/>
        <w:jc w:val="center"/>
      </w:pPr>
      <w:r>
        <w:rPr>
          <w:i/>
          <w:color w:val="444444"/>
          <w:sz w:val="18"/>
        </w:rPr>
        <w:t>Figure 5 — Full-wave tab: configuration and the resulting field. Band, wall material, coat count, length, port count and mesh density are set here, and the six openEMS analyses are picked independently. The mesh size and estimated memory are reported before the solve starts. The render below is real openEMS output: brightness is field strength, and any glow outside the green guide outline is signal leaking through the wall.</w:t>
      </w:r>
    </w:p>
    <w:p>
      <w:pPr>
        <w:pStyle w:val="Heading2"/>
      </w:pPr>
      <w:r>
        <w:rPr>
          <w:color w:val="0B6E54"/>
        </w:rPr>
        <w:t>3.2  Horn antennas — gain, beamwidth and the coating trade</w:t>
      </w:r>
    </w:p>
    <w:p>
      <w:r>
        <w:t>A horn is the flared open end of a waveguide, and it is how a satellite actually radiates. The analytical layer implements aperture integration after Balanis: for a pyramidal horn the aperture field is separable, with a cosine taper across the broad wall and a quadratic phase error in each plane set by the flare geometry; directivity follows from the ratio of the squared aperture integral to the power integral. Conical horns use the circular-aperture TE₁₁ distribution with a radial quadratic-phase integral. Both return gain, half-power beamwidth, sidelobe level and the full E- and H-plane patterns instantly.</w:t>
      </w:r>
    </w:p>
    <w:p>
      <w:r>
        <w:t>The same tab carries an inverse mode that sizes an optimal-gain horn for a target, a parametric sweep over aperture and flare ranked into a table, and the trade this project exists to quantify: a thin conductive coating on a light shell against a solid metal horn — the first-order gain penalty from conductor loss against the mass saved, with a Monte-Carlo band over the conductivity uncertainty.</w:t>
      </w:r>
    </w:p>
    <w:p>
      <w:r>
        <w:t>The full-wave counterpart solves the real three-dimensional horn: gain versus frequency, radiation patterns, input match, and the interior field as an explorable volume. Per-coating conductor loss is extracted from that one solved field by a surface-impedance method, so every candidate material is evaluated against the same validated field rather than re-solved.</w:t>
      </w:r>
    </w:p>
    <w:p>
      <w:pPr>
        <w:jc w:val="center"/>
      </w:pPr>
      <w:r>
        <w:drawing>
          <wp:inline xmlns:a="http://schemas.openxmlformats.org/drawingml/2006/main" xmlns:pic="http://schemas.openxmlformats.org/drawingml/2006/picture">
            <wp:extent cx="5394960" cy="2551670"/>
            <wp:docPr id="2" name="Picture 2"/>
            <wp:cNvGraphicFramePr>
              <a:graphicFrameLocks noChangeAspect="1"/>
            </wp:cNvGraphicFramePr>
            <a:graphic>
              <a:graphicData uri="http://schemas.openxmlformats.org/drawingml/2006/picture">
                <pic:pic>
                  <pic:nvPicPr>
                    <pic:cNvPr id="0" name="fig_horn_field.png"/>
                    <pic:cNvPicPr/>
                  </pic:nvPicPr>
                  <pic:blipFill>
                    <a:blip r:embed="rId10"/>
                    <a:stretch>
                      <a:fillRect/>
                    </a:stretch>
                  </pic:blipFill>
                  <pic:spPr>
                    <a:xfrm>
                      <a:off x="0" y="0"/>
                      <a:ext cx="5394960" cy="2551670"/>
                    </a:xfrm>
                    <a:prstGeom prst="rect"/>
                  </pic:spPr>
                </pic:pic>
              </a:graphicData>
            </a:graphic>
          </wp:inline>
        </w:drawing>
      </w:r>
    </w:p>
    <w:p>
      <w:pPr>
        <w:jc w:val="center"/>
      </w:pPr>
      <w:r>
        <w:rPr>
          <w:i/>
          <w:sz w:val="18"/>
        </w:rPr>
        <w:t>Figure 6 — Horn antenna, interior and radiated field on a decibel scale, from openEMS. The guided mode enters the narrow feed at left, expands through the flare, and leaves the aperture as spherical wavefronts. The amplitude genuinely falls as the beam spreads — that is radiation, not solver error.</w:t>
      </w:r>
    </w:p>
    <w:p>
      <w:pPr>
        <w:pStyle w:val="Heading2"/>
      </w:pPr>
      <w:r>
        <w:rPr>
          <w:color w:val="0B6E54"/>
        </w:rPr>
        <w:t>3.3  Reflection loss — from measured material data to absorber performance</w:t>
      </w:r>
    </w:p>
    <w:p>
      <w:r>
        <w:t>This is the radar-absorbing-material workflow, and it starts from laboratory measurement rather than assumption. Given a material’s complex permittivity and permeability against frequency — typically a raw vector-network-analyser export — the platform computes the reflection loss of a metal-backed layer of that material at every thickness at once.</w:t>
      </w:r>
    </w:p>
    <w:p>
      <w:r>
        <w:t>The physics is the input impedance of a shorted transmission line filled with the material, Zᵢₙ = √(μᵣ/εᵣ)·tanh(j·2πfd/c·√(εᵣμᵣ)), and the reflection loss that follows from it. A dip appears where the layer is about a quarter of a wavelength thick inside the material, because the reflection from the front face then cancels the reflection from the metal behind. Depth of the dip is peak absorption; its width — the effective absorption bandwidth below −10 dB — is usually the more valuable number, since a real radar is not obliged to sit on the best frequency.</w:t>
      </w:r>
    </w:p>
    <w:p>
      <w:r>
        <w:t>Outputs include reflection loss against frequency for a list of thicknesses, a thickness-versus-frequency map with the quarter-wave matching curve overlaid, the optimal thickness at a chosen frequency, impedance-match and attenuation diagnostics, and a spreadsheet export in the laboratory’s own column layout. The same material is then turned into a coated-plate radar cross section, so the measured data leads directly to a signature figure.</w:t>
      </w:r>
    </w:p>
    <w:p>
      <w:r>
        <w:t>Two companion tools extend it. An inverse absorber design searches recipes — single and multilayer Dallenbach, Salisbury screens, Jaumann — and plots reduction against the areal mass it costs, with the Rozanov thickness bound drawn for context, since no absorber can beat that limit. A fast material search evaluates thousands of permittivity, permeability and thickness combinations in closed form in seconds, to locate the region worth simulating properly.</w:t>
      </w:r>
    </w:p>
    <w:p>
      <w:pPr>
        <w:keepNext/>
        <w:spacing w:before="200" w:after="80"/>
        <w:jc w:val="center"/>
      </w:pPr>
      <w:r>
        <w:drawing>
          <wp:inline xmlns:a="http://schemas.openxmlformats.org/drawingml/2006/main" xmlns:pic="http://schemas.openxmlformats.org/drawingml/2006/picture">
            <wp:extent cx="5486400" cy="6727667"/>
            <wp:docPr id="8" name="Picture 8"/>
            <wp:cNvGraphicFramePr>
              <a:graphicFrameLocks noChangeAspect="1"/>
            </wp:cNvGraphicFramePr>
            <a:graphic>
              <a:graphicData uri="http://schemas.openxmlformats.org/drawingml/2006/picture">
                <pic:pic>
                  <pic:nvPicPr>
                    <pic:cNvPr id="0" name="rl_top.png"/>
                    <pic:cNvPicPr/>
                  </pic:nvPicPr>
                  <pic:blipFill>
                    <a:blip r:embed="rId16"/>
                    <a:stretch>
                      <a:fillRect/>
                    </a:stretch>
                  </pic:blipFill>
                  <pic:spPr>
                    <a:xfrm>
                      <a:off x="0" y="0"/>
                      <a:ext cx="5486400" cy="6727667"/>
                    </a:xfrm>
                    <a:prstGeom prst="rect"/>
                  </pic:spPr>
                </pic:pic>
              </a:graphicData>
            </a:graphic>
          </wp:inline>
        </w:drawing>
      </w:r>
    </w:p>
    <w:p>
      <w:pPr>
        <w:spacing w:after="280"/>
        <w:jc w:val="center"/>
      </w:pPr>
      <w:r>
        <w:rPr>
          <w:i/>
          <w:color w:val="444444"/>
          <w:sz w:val="18"/>
        </w:rPr>
        <w:t>Figure 7 — Reflection loss from measured material data. A raw vector-network-analyser export is loaded directly; permittivity and permeability are read per frequency and the metal-backed reflection loss is evaluated for every requested coating thickness. The headline reports the deepest absorption (−32.5 dB at 8.48 GHz), the thickness that achieves it, and the effective bandwidth below −10 dB. The table beneath is the full frequency-by-thickness grid, with the measured thickness in blue and the computed optimum in green — the same layout as the laboratory spreadsheet it reproduces to a median of 0.006 dB.</w:t>
      </w:r>
    </w:p>
    <w:p>
      <w:pPr>
        <w:keepNext/>
        <w:spacing w:before="200" w:after="80"/>
        <w:jc w:val="center"/>
      </w:pPr>
      <w:r>
        <w:drawing>
          <wp:inline xmlns:a="http://schemas.openxmlformats.org/drawingml/2006/main" xmlns:pic="http://schemas.openxmlformats.org/drawingml/2006/picture">
            <wp:extent cx="5486400" cy="2557010"/>
            <wp:docPr id="9" name="Picture 9"/>
            <wp:cNvGraphicFramePr>
              <a:graphicFrameLocks noChangeAspect="1"/>
            </wp:cNvGraphicFramePr>
            <a:graphic>
              <a:graphicData uri="http://schemas.openxmlformats.org/drawingml/2006/picture">
                <pic:pic>
                  <pic:nvPicPr>
                    <pic:cNvPr id="0" name="rl_map.png"/>
                    <pic:cNvPicPr/>
                  </pic:nvPicPr>
                  <pic:blipFill>
                    <a:blip r:embed="rId17"/>
                    <a:stretch>
                      <a:fillRect/>
                    </a:stretch>
                  </pic:blipFill>
                  <pic:spPr>
                    <a:xfrm>
                      <a:off x="0" y="0"/>
                      <a:ext cx="5486400" cy="2557010"/>
                    </a:xfrm>
                    <a:prstGeom prst="rect"/>
                  </pic:spPr>
                </pic:pic>
              </a:graphicData>
            </a:graphic>
          </wp:inline>
        </w:drawing>
      </w:r>
    </w:p>
    <w:p>
      <w:pPr>
        <w:spacing w:after="280"/>
        <w:jc w:val="center"/>
      </w:pPr>
      <w:r>
        <w:rPr>
          <w:i/>
          <w:color w:val="444444"/>
          <w:sz w:val="18"/>
        </w:rPr>
        <w:t>Figure 8 — Thickness against frequency, the whole plane at once. Colour is reflection loss; the warm ridge is the absorption band. The dashed white line is the independent quarter-wave prediction t = c/(4f√|εrμr|), which lands on the ridge without being fitted to it. One picture replaces dozens of hand-run curves, and the optimum thickness can be read straight off it.</w:t>
      </w:r>
    </w:p>
    <w:p>
      <w:pPr>
        <w:jc w:val="center"/>
      </w:pPr>
      <w:r>
        <w:rPr>
          <w:i/>
          <w:color w:val="777777"/>
          <w:sz w:val="18"/>
        </w:rPr>
        <w:t>Shows the measured-data workflow and the absorber tuning it produces.</w:t>
      </w:r>
    </w:p>
    <w:p>
      <w:pPr>
        <w:pStyle w:val="Heading2"/>
      </w:pPr>
      <w:r>
        <w:rPr>
          <w:color w:val="0B6E54"/>
        </w:rPr>
        <w:t>3.4  Radar cross section — canonical targets and real geometry</w:t>
      </w:r>
    </w:p>
    <w:p>
      <w:r>
        <w:t>Radar cross section is the effective area, in square metres or decibels relative to one square metre, that a target presents to a radar. The platform attacks it at two levels.</w:t>
      </w:r>
    </w:p>
    <w:p>
      <w:r>
        <w:t>For canonical targets it runs a full-wave solve: a plane wave illuminates the target inside a total-field/scattered-field boundary, and a near-field-to-far-field surface captures what is scattered. Spheres, plates, cylinders, dihedral corners and imported meshes are supported, bare or coated, and the headline result is the decibel reduction a coating buys against bare metal. A magnetic absorber genuinely lowers it; a purely conductive film barely does, because it still reflects — the platform shows that honestly rather than flattering the coating.</w:t>
      </w:r>
      <w:r>
        <w:t xml:space="preserve"> A plate's own thickness is set explicitly (2 mm by default), and the bare-metal reference is solved on the same plate, so the comparison isolates the coating.</w:t>
      </w:r>
    </w:p>
    <w:p>
      <w:r>
        <w:t>For real geometry, a full-wave solve is out of reach — a vehicle many wavelengths across would need an intractable mesh — so the platform uses the high-frequency asymptotic methods the field actually uses. An uploaded STEP or STL model is tessellated and its monostatic signature computed as a Physical Optics sum over lit facets, evaluated with an exact closed-form integral of the linear phase across each triangle rather than a point approximation, which is what makes an imported mesh trustworthy at coarse tessellation. Added to that is first-order Ufimtsev Physical Theory of Diffraction: a fringe-current line integral along every genuine edge. The distinction matters — physical optics alone is accurate near broadside and can be tens of decibels wrong at grazing angles, where edge diffraction is the whole answer.</w:t>
      </w:r>
    </w:p>
    <w:p>
      <w:r>
        <w:t>The result is reported per part: which component of the model dominates the return, what share each contributes, and what a given absorber assigned to that part removes. A three-dimensional viewer colours every facet by its own contribution at a chosen look angle, so a hot spot can be seen rather than inferred.</w:t>
      </w:r>
    </w:p>
    <w:p>
      <w:r>
        <w:t>Beyond analysis, the platform searches for a lower signature. Given a threat sector — the range of look angles that matters — it applies closed-form deformations to the user’s own mesh (nose fineness, body taper, cross-section ellipticity, planform sweep, appendage cant, tilt or slimming of the dominant part), re-solves each candidate with the same validated engine, and stacks the winners by coordinate descent. Two constraints keep the answer honest: axial length is preserved by construction, because signature falls trivially if the target simply shrinks, and every candidate is audited for geometric validity before it is allowed to score — inverted surfaces, collapsed facets, enclosed-volume loss beyond a stated budget, flattened components and parts driven into the fuselage are all rejected, with the reason reported.</w:t>
      </w:r>
    </w:p>
    <w:p>
      <w:r>
        <w:t>Finally, the platform expresses a coating or shape change in terms a non-specialist can use: the fraction of echo removed, the diameter of the metal sphere that would now return the same energy, and the reduction in the range at which a radar can detect the target.</w:t>
      </w:r>
    </w:p>
    <w:p>
      <w:pPr>
        <w:jc w:val="center"/>
      </w:pPr>
      <w:r>
        <w:drawing>
          <wp:inline xmlns:a="http://schemas.openxmlformats.org/drawingml/2006/main" xmlns:pic="http://schemas.openxmlformats.org/drawingml/2006/picture">
            <wp:extent cx="3931920" cy="2954898"/>
            <wp:docPr id="3" name="Picture 3"/>
            <wp:cNvGraphicFramePr>
              <a:graphicFrameLocks noChangeAspect="1"/>
            </wp:cNvGraphicFramePr>
            <a:graphic>
              <a:graphicData uri="http://schemas.openxmlformats.org/drawingml/2006/picture">
                <pic:pic>
                  <pic:nvPicPr>
                    <pic:cNvPr id="0" name="fig_rcs_field.png"/>
                    <pic:cNvPicPr/>
                  </pic:nvPicPr>
                  <pic:blipFill>
                    <a:blip r:embed="rId11"/>
                    <a:stretch>
                      <a:fillRect/>
                    </a:stretch>
                  </pic:blipFill>
                  <pic:spPr>
                    <a:xfrm>
                      <a:off x="0" y="0"/>
                      <a:ext cx="3931920" cy="2954898"/>
                    </a:xfrm>
                    <a:prstGeom prst="rect"/>
                  </pic:spPr>
                </pic:pic>
              </a:graphicData>
            </a:graphic>
          </wp:inline>
        </w:drawing>
      </w:r>
    </w:p>
    <w:p>
      <w:pPr>
        <w:jc w:val="center"/>
      </w:pPr>
      <w:r>
        <w:rPr>
          <w:i/>
          <w:sz w:val="18"/>
        </w:rPr>
        <w:t>Figure 9 — Radar scattering from a coated sphere, X-band, from openEMS. The standing-wave pattern ahead of the target, the shadow behind it, and the lobe scattered back toward the radar. That returning lobe is what an absorber is designed to remove.</w:t>
      </w:r>
    </w:p>
    <w:p>
      <w:pPr>
        <w:keepNext/>
        <w:spacing w:before="200" w:after="80"/>
        <w:jc w:val="center"/>
      </w:pPr>
      <w:r>
        <w:drawing>
          <wp:inline xmlns:a="http://schemas.openxmlformats.org/drawingml/2006/main" xmlns:pic="http://schemas.openxmlformats.org/drawingml/2006/picture">
            <wp:extent cx="5486400" cy="3493363"/>
            <wp:docPr id="10" name="Picture 10"/>
            <wp:cNvGraphicFramePr>
              <a:graphicFrameLocks noChangeAspect="1"/>
            </wp:cNvGraphicFramePr>
            <a:graphic>
              <a:graphicData uri="http://schemas.openxmlformats.org/drawingml/2006/picture">
                <pic:pic>
                  <pic:nvPicPr>
                    <pic:cNvPr id="0" name="cad_parts.png"/>
                    <pic:cNvPicPr/>
                  </pic:nvPicPr>
                  <pic:blipFill>
                    <a:blip r:embed="rId18"/>
                    <a:stretch>
                      <a:fillRect/>
                    </a:stretch>
                  </pic:blipFill>
                  <pic:spPr>
                    <a:xfrm>
                      <a:off x="0" y="0"/>
                      <a:ext cx="5486400" cy="3493363"/>
                    </a:xfrm>
                    <a:prstGeom prst="rect"/>
                  </pic:spPr>
                </pic:pic>
              </a:graphicData>
            </a:graphic>
          </wp:inline>
        </w:drawing>
      </w:r>
    </w:p>
    <w:p>
      <w:pPr>
        <w:spacing w:after="280"/>
        <w:jc w:val="center"/>
      </w:pPr>
      <w:r>
        <w:rPr>
          <w:i/>
          <w:color w:val="444444"/>
          <w:sz w:val="18"/>
        </w:rPr>
        <w:t>Figure 10 — Assigning a material to each part of an uploaded model. The STEP or STL file is tessellated into separate bodies — here nose, body, nozzle and four fins, each reported with its own dimensions — and any part can be left as bare metal or given a coating drawn from the shared material library that the reflection-loss tab pins into. This is what makes the analysis a design tool rather than a single number: coating is applied where it earns its mass.</w:t>
      </w:r>
    </w:p>
    <w:p>
      <w:pPr>
        <w:keepNext/>
        <w:spacing w:before="200" w:after="80"/>
        <w:jc w:val="center"/>
      </w:pPr>
      <w:r>
        <w:drawing>
          <wp:inline xmlns:a="http://schemas.openxmlformats.org/drawingml/2006/main" xmlns:pic="http://schemas.openxmlformats.org/drawingml/2006/picture">
            <wp:extent cx="5486400" cy="4354497"/>
            <wp:docPr id="11" name="Picture 11"/>
            <wp:cNvGraphicFramePr>
              <a:graphicFrameLocks noChangeAspect="1"/>
            </wp:cNvGraphicFramePr>
            <a:graphic>
              <a:graphicData uri="http://schemas.openxmlformats.org/drawingml/2006/picture">
                <pic:pic>
                  <pic:nvPicPr>
                    <pic:cNvPr id="0" name="cad_result.png"/>
                    <pic:cNvPicPr/>
                  </pic:nvPicPr>
                  <pic:blipFill>
                    <a:blip r:embed="rId19"/>
                    <a:stretch>
                      <a:fillRect/>
                    </a:stretch>
                  </pic:blipFill>
                  <pic:spPr>
                    <a:xfrm>
                      <a:off x="0" y="0"/>
                      <a:ext cx="5486400" cy="4354497"/>
                    </a:xfrm>
                    <a:prstGeom prst="rect"/>
                  </pic:spPr>
                </pic:pic>
              </a:graphicData>
            </a:graphic>
          </wp:inline>
        </w:drawing>
      </w:r>
    </w:p>
    <w:p>
      <w:pPr>
        <w:spacing w:after="280"/>
        <w:jc w:val="center"/>
      </w:pPr>
      <w:r>
        <w:rPr>
          <w:i/>
          <w:color w:val="444444"/>
          <w:sz w:val="18"/>
        </w:rPr>
        <w:t>Figure 11 — Radar signature of the model, and what the coating buys. Peak return falls from 14.4 dBsm bare to −10.0 dBsm coated, a 24.4 dB reduction. In the three-dimensional view each triangle is shaded by how much echo it sends back to the radar at the current look-angle, so the bright specular line along the body is visible as the dominant scatterer. The panel below converts the reduction into the three measures a radar engineer actually uses: echo power removed, equivalent metal-sphere diameter, and detection range — with the fourth, the scale factor for this exact geometry, solved numerically against the user's own mesh rather than assumed from a power law.</w:t>
      </w:r>
    </w:p>
    <w:p>
      <w:pPr>
        <w:keepNext/>
        <w:spacing w:before="200" w:after="80"/>
        <w:jc w:val="center"/>
      </w:pPr>
      <w:r>
        <w:drawing>
          <wp:inline xmlns:a="http://schemas.openxmlformats.org/drawingml/2006/main" xmlns:pic="http://schemas.openxmlformats.org/drawingml/2006/picture">
            <wp:extent cx="5486400" cy="3923441"/>
            <wp:docPr id="12" name="Picture 12"/>
            <wp:cNvGraphicFramePr>
              <a:graphicFrameLocks noChangeAspect="1"/>
            </wp:cNvGraphicFramePr>
            <a:graphic>
              <a:graphicData uri="http://schemas.openxmlformats.org/drawingml/2006/picture">
                <pic:pic>
                  <pic:nvPicPr>
                    <pic:cNvPr id="0" name="shape.png"/>
                    <pic:cNvPicPr/>
                  </pic:nvPicPr>
                  <pic:blipFill>
                    <a:blip r:embed="rId20"/>
                    <a:stretch>
                      <a:fillRect/>
                    </a:stretch>
                  </pic:blipFill>
                  <pic:spPr>
                    <a:xfrm>
                      <a:off x="0" y="0"/>
                      <a:ext cx="5486400" cy="3923441"/>
                    </a:xfrm>
                    <a:prstGeom prst="rect"/>
                  </pic:spPr>
                </pic:pic>
              </a:graphicData>
            </a:graphic>
          </wp:inline>
        </w:drawing>
      </w:r>
    </w:p>
    <w:p>
      <w:pPr>
        <w:spacing w:after="280"/>
        <w:jc w:val="center"/>
      </w:pPr>
      <w:r>
        <w:rPr>
          <w:i/>
          <w:color w:val="444444"/>
          <w:sz w:val="18"/>
        </w:rPr>
        <w:t>Figure 12 — Shape improvement: searching real deformations of the user's own geometry. Eight deformations are swept over a chosen threat sector, each candidate re-meshed and re-solved in full. Sector mean falls from 9.1 to −4.4 dBsm, a 13.5 dB reduction, from tilting the dominant part, canting the fins and tapering the body. The status line reports 28 of 56 candidates rejected as invalid geometry — a validity gate refuses folded surfaces, collapsed facets, interpenetrating parts and excessive volume loss before a candidate is allowed to score, and length is held constant by construction so nothing wins by quietly shrinking the vehicle. The geometry cost is stated with the result.</w:t>
      </w:r>
    </w:p>
    <w:p>
      <w:pPr>
        <w:pStyle w:val="Heading1"/>
      </w:pPr>
      <w:r>
        <w:rPr>
          <w:color w:val="0B6E54"/>
        </w:rPr>
        <w:t>4. How the results are trusted</w:t>
      </w:r>
    </w:p>
    <w:p>
      <w:r>
        <w:t>Correctness is enforced by a regression harness rather than asserted in prose. Twenty-eight physics anchors must pass before any change is accepted, spanning textbook waveguide results, the reflection-loss engine against a reference spreadsheet, horn directivity and aperture efficiency, and the radar-signature engine against closed forms. Copper WR-90 is pinned at 0.1084 dB/m at 10 GHz; if an edit moves it, the harness fails.</w:t>
      </w:r>
    </w:p>
    <w:p>
      <w:r>
        <w:t>Specific agreements worth stating:</w:t>
      </w:r>
    </w:p>
    <w:p>
      <w:pPr>
        <w:pStyle w:val="ListBullet"/>
      </w:pPr>
      <w:r>
        <w:t>The reflection-loss engine reproduces the reference laboratory spreadsheet to a median of 0.006 dB.</w:t>
      </w:r>
    </w:p>
    <w:p>
      <w:pPr>
        <w:pStyle w:val="ListBullet"/>
      </w:pPr>
      <w:r>
        <w:t>The signature engine returns the exact closed form for a flat plate on both fine and coarse meshes, matches the broadside cylinder result to 0.03 dB, and converges to the physical-optics limit for a sphere.</w:t>
      </w:r>
    </w:p>
    <w:p>
      <w:pPr>
        <w:pStyle w:val="ListBullet"/>
      </w:pPr>
      <w:r>
        <w:t>Against an independent full-wave openEMS solve of a plate four wavelengths across, the analytical signature engine agrees to 0.15 dB at broadside — and that comparison is what externally confirmed the edge-diffraction normalisation.</w:t>
      </w:r>
    </w:p>
    <w:p>
      <w:pPr>
        <w:pStyle w:val="ListBullet"/>
      </w:pPr>
      <w:r>
        <w:t>The horn engine returns 15.6 dBi for a commercial 15 dBi reference horn, an aperture efficiency of 0.50 at the phase-error optimum, and 8/π² for an open-ended guide.</w:t>
      </w:r>
    </w:p>
    <w:p>
      <w:pPr>
        <w:pStyle w:val="ListBullet"/>
      </w:pPr>
      <w:r>
        <w:t>The full-wave sphere reproduces the exact Mie series through the Rayleigh, resonance and optical regimes, and the plate matches physical optics to about a decibel.</w:t>
      </w:r>
    </w:p>
    <w:p>
      <w:pPr>
        <w:pStyle w:val="ListBullet"/>
      </w:pPr>
      <w:r>
        <w:t>After the shape optimiser applies a design, re-averaging the same angles through a separate code path agrees with the optimiser’s own claim to 0.03 dB.</w:t>
      </w:r>
    </w:p>
    <w:p>
      <w:r>
        <w:t>The signature engine itself is held in a single file that the harness both tests and checks for byte-identity against the copy embedded in the application, so the two can never silently drift apart.</w:t>
      </w:r>
    </w:p>
    <w:p>
      <w:pPr>
        <w:pStyle w:val="Heading1"/>
      </w:pPr>
      <w:r>
        <w:rPr>
          <w:color w:val="0B6E54"/>
        </w:rPr>
        <w:t>5. Honesty and traceability</w:t>
      </w:r>
    </w:p>
    <w:p>
      <w:r>
        <w:t>Because the platform mixes an approximate model, a rigorous solver and real measurements, every figure is labelled as analytical, full-wave or measured. The convention is enforced visually: dashed for the model, solid for the solve. Where a method is asymptotic it is described as asymptotic and its failure regime is stated, rather than being called exact. Asked for a result outside the frequencies a material was actually measured over, the platform holds the material data at the measured edge, marks the answer as extrapolated, excludes it from headline figures and bandwidth calculations, and draws it as a distinct dashed curve.</w:t>
      </w:r>
    </w:p>
    <w:p>
      <w:r>
        <w:t>Every constant, equation and claim carries a numbered citation to a References page of roughly fifty sources — Pozar for waveguide theory, Balanis for antennas, Taflove and Hagness for FDTD, Knott for radar cross section, Ufimtsev for the diffraction theory, Mie for the exact sphere, Rozanov for the absorber thickness bound, the ECSS standard for multipaction, and material-property sources for every conductor and substrate. Where a figure is an assumption rather than a measurement — the launch cost per kilogram, for instance — it is flagged as an input assumption and exposed as a control. A full derivation of every governing equation is rendered on-screen and can be printed.</w:t>
      </w:r>
    </w:p>
    <w:p>
      <w:pPr>
        <w:keepNext/>
        <w:spacing w:before="200" w:after="80"/>
        <w:jc w:val="center"/>
      </w:pPr>
      <w:r>
        <w:drawing>
          <wp:inline xmlns:a="http://schemas.openxmlformats.org/drawingml/2006/main" xmlns:pic="http://schemas.openxmlformats.org/drawingml/2006/picture">
            <wp:extent cx="5486400" cy="5193623"/>
            <wp:docPr id="13" name="Picture 13"/>
            <wp:cNvGraphicFramePr>
              <a:graphicFrameLocks noChangeAspect="1"/>
            </wp:cNvGraphicFramePr>
            <a:graphic>
              <a:graphicData uri="http://schemas.openxmlformats.org/drawingml/2006/picture">
                <pic:pic>
                  <pic:nvPicPr>
                    <pic:cNvPr id="0" name="physics.png"/>
                    <pic:cNvPicPr/>
                  </pic:nvPicPr>
                  <pic:blipFill>
                    <a:blip r:embed="rId21"/>
                    <a:stretch>
                      <a:fillRect/>
                    </a:stretch>
                  </pic:blipFill>
                  <pic:spPr>
                    <a:xfrm>
                      <a:off x="0" y="0"/>
                      <a:ext cx="5486400" cy="5193623"/>
                    </a:xfrm>
                    <a:prstGeom prst="rect"/>
                  </pic:spPr>
                </pic:pic>
              </a:graphicData>
            </a:graphic>
          </wp:inline>
        </w:drawing>
      </w:r>
    </w:p>
    <w:p>
      <w:pPr>
        <w:spacing w:after="280"/>
        <w:jc w:val="center"/>
      </w:pPr>
      <w:r>
        <w:rPr>
          <w:i/>
          <w:color w:val="444444"/>
          <w:sz w:val="18"/>
        </w:rPr>
        <w:t>Figure 13 — The physics page: every derivation on screen and sourced. Twenty sections take the reader from Maxwell's equations in a rectangular guide through skin depth, surface resistance, attenuation, the weight and cost models, radar cross section, shaping, absorber design, down-range profiling, polarimetry and detection probability. Each equation carries the numbered citation it comes from, and the whole page prints to PDF. Nothing the simulator computes is hidden behind an interface.</w:t>
      </w:r>
    </w:p>
    <w:p>
      <w:pPr>
        <w:pStyle w:val="Heading1"/>
      </w:pPr>
      <w:r>
        <w:rPr>
          <w:color w:val="0B6E54"/>
        </w:rPr>
        <w:t>6. Software and engineering</w:t>
      </w:r>
    </w:p>
    <w:p>
      <w:r>
        <w:t>The application is a single self-contained HTML file with no build step: about thirteen thousand lines of markup, styling and vanilla JavaScript carrying the entire interface, the analytical engines, the three-dimensional viewers and the client for the simulation bridge. It runs from a file on disk with no installation. Twenty-one pages are organised into four grouped menus.</w:t>
      </w:r>
    </w:p>
    <w:p>
      <w:r>
        <w:t>The back end is a Python/Flask bridge that orchestrates GNU Octave, openEMS and a Python post-processing chain, streaming live solver progress back to the browser so a three-minute run is not a blank wait. Because the solver writes to fixed working paths, overlapping runs are serialised by a genuine server-side lock and a second request is refused with an explanation, which matters because the bridge is shared over a link.</w:t>
      </w:r>
    </w:p>
    <w:p>
      <w:r>
        <w:t>Other engineering worth noting: the platform is an installable progressive web application, usable on a phone or tablet, with a service worker that caches the interface but is forbidden from ever caching a solver route, so a phone always triggers a real solve. All machine-specific paths are environment variables with sensible defaults, so the same repository runs on a macOS development machine and a Windows always-on server. The entire in-application documentation exists in both English and Arabic, right-to-left, across sixty-three contextual help entries. Animated field exports are written as both MP4 and GIF, the MP4 being roughly twenty times smaller. Results export as charts, raw CSV, Excel workbooks, a geometry file, a rotating three-dimensional view and a machine-readable run manifest recording the solver settings a result actually used.</w:t>
      </w:r>
    </w:p>
    <w:p>
      <w:r>
        <w:t>Skills exercised: full-stack web development, scientific and numerical programming, computational electromagnetics, workflow automation and inter-process orchestration, three-dimensional graphics, test design for numerical code, cross-platform deployment, and bilingual technical writing.</w:t>
      </w:r>
    </w:p>
    <w:p>
      <w:pPr>
        <w:pStyle w:val="Heading1"/>
      </w:pPr>
      <w:r>
        <w:rPr>
          <w:color w:val="0B6E54"/>
        </w:rPr>
        <w:t>7. Honest limitations</w:t>
      </w:r>
    </w:p>
    <w:p>
      <w:r>
        <w:t>These are stated in the application as well as here.</w:t>
      </w:r>
    </w:p>
    <w:p>
      <w:pPr>
        <w:pStyle w:val="ListBullet"/>
      </w:pPr>
      <w:r>
        <w:t>The flagship MXene-coated basswood is not yet hardware-validated. It has been checked against textbook physics and full-wave simulation only. The measurement-fit tool is the intended validator once samples exist.</w:t>
      </w:r>
    </w:p>
    <w:p>
      <w:pPr>
        <w:pStyle w:val="ListBullet"/>
      </w:pPr>
      <w:r>
        <w:t>The analytical signature engine models specular reflection and first-order edge diffraction. It does not model multiple bounces, cavities such as inlets or nozzles, creeping or travelling waves, tip diffraction, or ray shadowing beyond a per-facet normal test. A shipped dihedral-corner test case demonstrates and quantifies that under-prediction deliberately.</w:t>
      </w:r>
    </w:p>
    <w:p>
      <w:pPr>
        <w:pStyle w:val="ListBullet"/>
      </w:pPr>
      <w:r>
        <w:t>Full-wave radar simulation is restricted to small canonical targets; whole vehicles are the domain of the asymptotic methods, and the platform refuses solves that exceed its electrical-size guard.</w:t>
      </w:r>
    </w:p>
    <w:p>
      <w:pPr>
        <w:pStyle w:val="ListBullet"/>
      </w:pPr>
      <w:r>
        <w:t>The shape optimiser’s validity gate is geometric only. It says nothing about aerodynamics, structural load paths, internal packaging beyond a crude volume figure, control authority, thermal behaviour or manufacturability. A shape that passes it is a direction to explore with specialists, not a design.</w:t>
      </w:r>
    </w:p>
    <w:p>
      <w:pPr>
        <w:pStyle w:val="ListBullet"/>
      </w:pPr>
      <w:r>
        <w:t>The space-survivability checks are first-order screens, not qualification. MXene’s secondary-electron-yield behaviour is essentially unmeasured, which is an open question rather than a solved one.</w:t>
      </w:r>
    </w:p>
    <w:p>
      <w:pPr>
        <w:pStyle w:val="ListBullet"/>
      </w:pPr>
      <w:r>
        <w:t>Full-wave magnitudes are mesh-limited to within a few decibels; the shape of a curve is more trustworthy than its absolute level, and the platform says so beside the affected charts.</w:t>
      </w:r>
    </w:p>
    <w:p/>
    <w:p>
      <w:r>
        <w:rPr>
          <w:i/>
          <w:sz w:val="19"/>
        </w:rPr>
        <w:t>Built during a research internship at the Space Materials Lab, Khalifa University, Abu Dhabi. The platform is citeable; a Citation File Format record accompanies the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