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  <w:shd w:val="clear" w:color="auto" w:fill="1E293B"/>
      </w:pPr>
      <w:r>
        <w:rPr>
          <w:rFonts w:ascii="Calibri" w:hAnsi="Calibri"/>
          <w:b/>
          <w:i w:val="0"/>
          <w:color w:val="FFFFFF"/>
          <w:sz w:val="44"/>
        </w:rPr>
        <w:t>Hybrid Photonic Temporal QRC  (HPT-QRC)</w:t>
      </w:r>
    </w:p>
    <w:p>
      <w:pPr>
        <w:spacing w:before="0" w:after="0"/>
        <w:jc w:val="center"/>
        <w:shd w:val="clear" w:color="auto" w:fill="1E293B"/>
      </w:pPr>
      <w:r>
        <w:rPr>
          <w:rFonts w:ascii="Calibri" w:hAnsi="Calibri"/>
          <w:b w:val="0"/>
          <w:i w:val="0"/>
          <w:color w:val="93C5FD"/>
          <w:sz w:val="30"/>
        </w:rPr>
        <w:t>Swaption Volatility Surface Forecaster</w:t>
      </w:r>
    </w:p>
    <w:p>
      <w:pPr>
        <w:spacing w:before="0" w:after="120"/>
        <w:jc w:val="center"/>
        <w:shd w:val="clear" w:color="auto" w:fill="1E293B"/>
      </w:pPr>
      <w:r>
        <w:rPr>
          <w:rFonts w:ascii="Calibri" w:hAnsi="Calibri"/>
          <w:b w:val="0"/>
          <w:i w:val="0"/>
          <w:color w:val="94A3B8"/>
          <w:sz w:val="20"/>
        </w:rPr>
        <w:t>EPFL Quantum Hackathon 2026  ·  Quandela Challenge  ·  Team Qedi</w:t>
      </w:r>
    </w:p>
    <w:p>
      <w:pPr>
        <w:spacing w:before="0" w:after="80"/>
        <w:jc w:val="center"/>
        <w:shd w:val="clear" w:color="auto" w:fill="E3000F"/>
      </w:pPr>
      <w:r>
        <w:rPr>
          <w:rFonts w:ascii="Calibri" w:hAnsi="Calibri"/>
          <w:b/>
          <w:i w:val="0"/>
          <w:color w:val="FFFFFF"/>
          <w:sz w:val="21"/>
        </w:rPr>
        <w:t>Eren Aslan  ·  Hüseyin Umut Işık  ·  Arda Kara  ·  Mehmet Alp Özaydın   |   METU &amp; Bilkent University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6"/>
            <w:shd w:val="clear" w:color="auto" w:fill="F8FAFC"/>
            <w:tcBorders>
              <w:right w:val="single" w:sz="4" w:color="E3000F"/>
            </w:tcBorders>
          </w:tcPr>
          <w:p>
            <w:pPr>
              <w:jc w:val="left"/>
            </w:pPr>
            <w:r>
              <w:rPr>
                <w:b/>
                <w:color w:val="E3000F"/>
                <w:sz w:val="26"/>
              </w:rPr>
              <w:t>01.  THE CHALLENGE</w:t>
            </w:r>
          </w:p>
          <w:p>
            <w:pPr/>
          </w:p>
          <w:p>
            <w:pPr/>
            <w:r>
              <w:rPr>
                <w:b w:val="0"/>
                <w:color w:val="1E293B"/>
                <w:sz w:val="20"/>
              </w:rPr>
              <w:t>Every morning, fixed-income traders face a 224-dimensional puzzle: the swaption volatility surface. This grid encodes the market’s full expectation of future interest-rate volatility across every tenor–maturity pair — and it shifts overnight. Getting the forecast wrong is expensive. Getting it right is a structural edge.</w:t>
            </w:r>
          </w:p>
          <w:p>
            <w:pPr/>
          </w:p>
          <w:p>
            <w:pPr/>
            <w:r>
              <w:rPr>
                <w:b/>
                <w:color w:val="E3000F"/>
                <w:sz w:val="21"/>
              </w:rPr>
              <w:t>Task 1 — Predictive Forecasting</w:t>
            </w:r>
          </w:p>
          <w:p>
            <w:pPr/>
            <w:r>
              <w:rPr>
                <w:b w:val="0"/>
                <w:color w:val="1E293B"/>
                <w:sz w:val="20"/>
              </w:rPr>
              <w:t xml:space="preserve">Forecast the next H-day swaption volatility surface topology from sequential historical data. Classical deep learning (LSTM, regression) cannot efficiently capture the </w:t>
            </w:r>
            <w:r>
              <w:rPr>
                <w:b/>
                <w:color w:val="1E293B"/>
                <w:sz w:val="20"/>
              </w:rPr>
              <w:t>non-linear, entangled cross-surface correlations</w:t>
            </w:r>
            <w:r>
              <w:rPr>
                <w:b w:val="0"/>
                <w:color w:val="1E293B"/>
                <w:sz w:val="20"/>
              </w:rPr>
              <w:t xml:space="preserve"> spanning all 224 dimensions without enormous computational overhead.</w:t>
            </w:r>
          </w:p>
          <w:p>
            <w:pPr/>
          </w:p>
          <w:p>
            <w:pPr/>
            <w:r>
              <w:rPr>
                <w:b/>
                <w:color w:val="E3000F"/>
                <w:sz w:val="21"/>
              </w:rPr>
              <w:t>Task 2 — Data Imputation</w:t>
            </w:r>
          </w:p>
          <w:p>
            <w:pPr/>
            <w:r>
              <w:rPr>
                <w:b w:val="0"/>
                <w:color w:val="1E293B"/>
                <w:sz w:val="20"/>
              </w:rPr>
              <w:t>Real market data feeds are noisy. Exchange outages and feed drops leave critical surface nodes missing — crippling downstream risk models. Reconstruct these gaps accurately to restore a complete, tradeable volatility surface.</w:t>
            </w:r>
          </w:p>
          <w:p>
            <w:pPr/>
          </w:p>
          <w:p>
            <w:pPr/>
            <w:r>
              <w:rPr>
                <w:b/>
                <w:color w:val="E3000F"/>
                <w:sz w:val="21"/>
              </w:rPr>
              <w:t>Why This Is Hard</w:t>
            </w:r>
          </w:p>
          <w:p>
            <w:pPr/>
            <w:r>
              <w:rPr>
                <w:b w:val="0"/>
                <w:color w:val="1E293B"/>
                <w:sz w:val="20"/>
              </w:rPr>
              <w:t>•  224 correlated, non-stationary features updated daily</w:t>
            </w:r>
          </w:p>
          <w:p>
            <w:pPr/>
            <w:r>
              <w:rPr>
                <w:b w:val="0"/>
                <w:color w:val="1E293B"/>
                <w:sz w:val="20"/>
              </w:rPr>
              <w:t>•  Regime-dependent dynamics that fool static models</w:t>
            </w:r>
          </w:p>
          <w:p>
            <w:pPr/>
            <w:r>
              <w:rPr>
                <w:b w:val="0"/>
                <w:color w:val="1E293B"/>
                <w:sz w:val="20"/>
              </w:rPr>
              <w:t>•  Multi-day horizon: error compounds across cascading forecasts</w:t>
            </w:r>
          </w:p>
          <w:p>
            <w:pPr/>
            <w:r>
              <w:rPr>
                <w:b w:val="0"/>
                <w:color w:val="1E293B"/>
                <w:sz w:val="20"/>
              </w:rPr>
              <w:t>•  Classical deep learning scales poorly in the Fock-space regime</w:t>
            </w:r>
          </w:p>
          <w:p>
            <w:pPr/>
          </w:p>
          <w:p>
            <w:pPr/>
            <w:r>
              <w:rPr>
                <w:b/>
                <w:color w:val="E3000F"/>
                <w:sz w:val="21"/>
              </w:rPr>
              <w:t>Why Quantum?</w:t>
            </w:r>
          </w:p>
          <w:p>
            <w:pPr/>
            <w:r>
              <w:rPr>
                <w:b w:val="0"/>
                <w:color w:val="1E293B"/>
                <w:sz w:val="20"/>
              </w:rPr>
              <w:t xml:space="preserve">Photonic quantum reservoirs naturally encode </w:t>
            </w:r>
            <w:r>
              <w:rPr>
                <w:b/>
                <w:color w:val="1E293B"/>
                <w:sz w:val="20"/>
              </w:rPr>
              <w:t>exponentially large feature spaces</w:t>
            </w:r>
            <w:r>
              <w:rPr>
                <w:b w:val="0"/>
                <w:color w:val="1E293B"/>
                <w:sz w:val="20"/>
              </w:rPr>
              <w:t xml:space="preserve"> through photon interference — capturing the non-linear surface structure that classical architectures must approximate at massive computational cost. No gradient training. No qubit fragility. Just light.</w:t>
            </w:r>
          </w:p>
        </w:tc>
        <w:tc>
          <w:tcPr>
            <w:tcW w:type="dxa" w:w="4986"/>
            <w:shd w:val="clear" w:color="auto" w:fill="F0F4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E3000F"/>
                <w:sz w:val="26"/>
              </w:rPr>
              <w:t>02.  THEORY &amp; BACKGROUND</w:t>
            </w:r>
          </w:p>
          <w:p>
            <w:pPr>
              <w:spacing w:before="40" w:after="40"/>
              <w:jc w:val="left"/>
            </w:pPr>
          </w:p>
          <w:p>
            <w:pPr>
              <w:spacing w:before="80" w:after="4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>Quantum Reservoir Computing (QRC)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QRC exploits a fixed, high-dimensional quantum system as a non-linear dynamical reservoir.  A simple linear readout layer trained on the reservoir state is enough to solve complex time-series tasks — no gradient-based training of the quantum circuit is needed.</w:t>
            </w:r>
          </w:p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>Photonic Advantage via MerLin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We implement the reservoir on Quandela's MerLin photonic framework. Linear-optical circuits with beamsplitters and phase-shifters create rich Fock-space interference.  Photons do not decohere as quickly as qubits, making photonic QRC a near-term hardware candidate.</w:t>
            </w:r>
          </w:p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>Inspiration: Li et al. (2024)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"QRC for Realized Volatility Forecasting" introduced a qubit-based Hamiltonian-evolution reservoir for financial time series.  We adapted and extended this to a purely photonic setting, adding dedicated memory modes, virtual nodes, and ensemble LexGrouping.</w:t>
            </w:r>
          </w:p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>PCA Dimensionality Reduction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The 224D surface is compressed to 5 principal components (capturing &gt;95 % of variance) before being fed into the reservoir, making the computation tractable while preserving the surface structure.</w:t>
            </w:r>
          </w:p>
        </w:tc>
      </w:tr>
    </w:tbl>
    <w:p/>
    <w:p>
      <w:pPr>
        <w:spacing w:before="80"/>
        <w:jc w:val="left"/>
      </w:pPr>
      <w:r>
        <w:rPr>
          <w:rFonts w:ascii="Calibri" w:hAnsi="Calibri"/>
          <w:b/>
          <w:color w:val="1E293B"/>
          <w:sz w:val="28"/>
        </w:rPr>
        <w:t>03.  HPT-QRC PIPELINE ARCHITECTURE</w:t>
      </w:r>
    </w:p>
    <w:p>
      <w:pPr>
        <w:spacing w:before="0" w:after="120"/>
        <w:pBdr>
          <w:bottom w:val="single" w:sz="6" w:space="1" w:color="E3000F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64748B"/>
          <w:sz w:val="20"/>
        </w:rPr>
        <w:t>End-to-end data flow from raw 224-dimensional swaption surface to next-day forecast: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28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2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1.  Raw (224D) → Scaler+PCA(5D) → Rolling Window(1×25) → HPT-QRC(9 circuits) → LexGrouping(90Q)+Classic(25C) → Ridge → Forecast(224D)</w:t>
      </w:r>
    </w:p>
    <w:p/>
    <w:p>
      <w:pPr>
        <w:jc w:val="left"/>
      </w:pPr>
      <w:r>
        <w:rPr>
          <w:rFonts w:ascii="Calibri" w:hAnsi="Calibri"/>
          <w:b/>
          <w:color w:val="1E293B"/>
          <w:sz w:val="28"/>
        </w:rPr>
        <w:t>04.  KEY INNOVATIONS</w:t>
      </w:r>
    </w:p>
    <w:p>
      <w:pPr>
        <w:spacing w:before="0" w:after="120"/>
        <w:pBdr>
          <w:bottom w:val="single" w:sz="6" w:space="1" w:color="E3000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0F4F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E3000F"/>
                <w:sz w:val="22"/>
              </w:rPr>
              <w:t>01  Dedicated Memory Modes</w:t>
            </w:r>
          </w:p>
          <w:p>
            <w:pPr>
              <w:spacing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Uses 5 input modes + 3 unencoded memory modes. Memory modes continuously accumulate historical context through serial phase mixing across the 5-step temporal window — giving the reservoir genuine short-term memory without additional parameters.</w:t>
            </w:r>
          </w:p>
        </w:tc>
        <w:tc>
          <w:tcPr>
            <w:tcW w:type="dxa" w:w="4986"/>
            <w:shd w:val="clear" w:color="auto" w:fill="FFF0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02  Virtual Nodes</w:t>
            </w:r>
          </w:p>
          <w:p>
            <w:pPr>
              <w:spacing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The reservoir is sampled at multiple post-processing depths (V1, V2, V3). This emulates chronological sub-interval measurements, massively expanding the temporal feature space from 8 physical modes to 90 quantum features without increasing photon count.</w:t>
            </w:r>
          </w:p>
        </w:tc>
      </w:tr>
      <w:tr>
        <w:tc>
          <w:tcPr>
            <w:tcW w:type="dxa" w:w="4986"/>
            <w:shd w:val="clear" w:color="auto" w:fill="F0FFF4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E3000F"/>
                <w:sz w:val="22"/>
              </w:rPr>
              <w:t>03  Ensemble LexGrouping</w:t>
            </w:r>
          </w:p>
          <w:p>
            <w:pPr>
              <w:spacing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3 random seeds × 3 virtual depths = 9 independent circuits. Raw Fock-state probabilities are compressed via LexGrouping, making the Hilbert-space output tractable. Ensembling dramatically reduces variance and outperforms single-circuit QRC.</w:t>
            </w:r>
          </w:p>
        </w:tc>
        <w:tc>
          <w:tcPr>
            <w:tcW w:type="dxa" w:w="4986"/>
            <w:shd w:val="clear" w:color="auto" w:fill="FFFF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04  Hybrid Readout</w:t>
            </w:r>
          </w:p>
          <w:p>
            <w:pPr>
              <w:spacing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90 quantum features (LexGrouped probabilities) are concatenated with 25 classical window features.  An L2-regularised Ridge regression then projects these 115 features onto the 5 PCA coordinates, which are inverse-transformed to recover the full 224D forecast surface.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E293B"/>
          <w:sz w:val="28"/>
        </w:rPr>
        <w:t>05.  DIMENSIONALITY REDUCTION</w:t>
      </w:r>
    </w:p>
    <w:p>
      <w:pPr>
        <w:spacing w:before="0" w:after="120"/>
        <w:pBdr>
          <w:bottom w:val="single" w:sz="6" w:space="1" w:color="E3000F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varianc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2.  PCA Cumulative Explained Variance — 5 components capture &gt;95% of surface variance.</w:t>
      </w:r>
    </w:p>
    <w:p/>
    <w:p>
      <w:pPr>
        <w:jc w:val="left"/>
      </w:pPr>
      <w:r>
        <w:rPr>
          <w:rFonts w:ascii="Calibri" w:hAnsi="Calibri"/>
          <w:b/>
          <w:color w:val="1E293B"/>
          <w:sz w:val="28"/>
        </w:rPr>
        <w:t>06.  RESULTS</w:t>
      </w:r>
    </w:p>
    <w:p>
      <w:pPr>
        <w:spacing w:before="0" w:after="120"/>
        <w:pBdr>
          <w:bottom w:val="single" w:sz="6" w:space="1" w:color="E3000F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1"/>
        </w:rPr>
        <w:t>HPT-QRC achieves the lowest RMSE across all baselines, outperforming LSTM, QSVR, Hybrid QNN, and even pure photonic linear QRC by a wide margin.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24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3.  RMSE comparison across all model architectures.  HPT-QRC (red) achieves 0.0021.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746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Table 1.  Full performance leaderboard (MSE, RMSE, MAE) across all architectures.</w:t>
      </w:r>
    </w:p>
    <w:p/>
    <w:p>
      <w:pPr>
        <w:jc w:val="left"/>
      </w:pPr>
      <w:r>
        <w:rPr>
          <w:rFonts w:ascii="Calibri" w:hAnsi="Calibri"/>
          <w:b/>
          <w:color w:val="1E293B"/>
          <w:sz w:val="24"/>
        </w:rPr>
        <w:t>6a.  Temporal Walk-Forward Evaluation (6-Day Horizon)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model_walk_forward_error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4.  6-Day walk-forward error evaluation — HPT-QRC maintains low error across all horizons.</w:t>
      </w:r>
    </w:p>
    <w:p/>
    <w:p>
      <w:pPr>
        <w:jc w:val="left"/>
      </w:pPr>
      <w:r>
        <w:rPr>
          <w:rFonts w:ascii="Calibri" w:hAnsi="Calibri"/>
          <w:b/>
          <w:color w:val="1E293B"/>
          <w:sz w:val="24"/>
        </w:rPr>
        <w:t>6b.  Hyperparameter Configuration Impact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960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tion_experiment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5.  Hyperparameter ablation study — seeds, virtual nodes, and modes swept.</w:t>
      </w:r>
    </w:p>
    <w:p/>
    <w:p>
      <w:pPr>
        <w:jc w:val="left"/>
      </w:pPr>
      <w:r>
        <w:rPr>
          <w:rFonts w:ascii="Calibri" w:hAnsi="Calibri"/>
          <w:b/>
          <w:color w:val="1E293B"/>
          <w:sz w:val="24"/>
        </w:rPr>
        <w:t>6c.  Task 2: Data Imputation Reconstruction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313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_arda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6.  Data imputation reconstruction results — missing surface nodes recovered accurately.</w:t>
      </w:r>
    </w:p>
    <w:p/>
    <w:p>
      <w:pPr>
        <w:jc w:val="left"/>
      </w:pPr>
      <w:r>
        <w:rPr>
          <w:rFonts w:ascii="Calibri" w:hAnsi="Calibri"/>
          <w:b/>
          <w:color w:val="1E293B"/>
          <w:sz w:val="24"/>
        </w:rPr>
        <w:t>6d.  Champion Model: Price Trajectory Tracking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mpion_Hybrid_QNN_Price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7.  HPT-QRC swaption price trajectory tracking vs. actual market data.</w:t>
      </w:r>
    </w:p>
    <w:p/>
    <w:p>
      <w:pPr>
        <w:jc w:val="left"/>
      </w:pPr>
      <w:r>
        <w:rPr>
          <w:rFonts w:ascii="Calibri" w:hAnsi="Calibri"/>
          <w:b/>
          <w:color w:val="1E293B"/>
          <w:sz w:val="28"/>
        </w:rPr>
        <w:t>07.  CONCLUSIONS</w:t>
      </w:r>
    </w:p>
    <w:p>
      <w:pPr>
        <w:spacing w:before="0" w:after="120"/>
        <w:pBdr>
          <w:bottom w:val="single" w:sz="6" w:space="1" w:color="E3000F"/>
        </w:pBdr>
      </w:pPr>
    </w:p>
    <w:p>
      <w:pPr>
        <w:pStyle w:val="ListBullet"/>
        <w:spacing w:after="60"/>
      </w:pPr>
      <w:r>
        <w:rPr>
          <w:b/>
          <w:color w:val="E3000F"/>
          <w:sz w:val="21"/>
        </w:rPr>
        <w:t xml:space="preserve">3.5× performance leap over classical baselines: </w:t>
      </w:r>
      <w:r>
        <w:rPr>
          <w:b w:val="0"/>
          <w:color w:val="1E293B"/>
          <w:sz w:val="21"/>
        </w:rPr>
        <w:t>HPT-QRC achieves RMSE = 0.0021 — 3.5× better than LSTM (0.0073) and 11× better than QSVR (0.0233). Across all six forecasting horizons, photons consistently outperform gradient-trained deep networks.</w:t>
      </w:r>
    </w:p>
    <w:p>
      <w:pPr>
        <w:pStyle w:val="ListBullet"/>
        <w:spacing w:after="60"/>
      </w:pPr>
      <w:r>
        <w:rPr>
          <w:b/>
          <w:color w:val="E3000F"/>
          <w:sz w:val="21"/>
        </w:rPr>
        <w:t xml:space="preserve">First photonic reservoir with engineered temporal memory: </w:t>
      </w:r>
      <w:r>
        <w:rPr>
          <w:b w:val="0"/>
          <w:color w:val="1E293B"/>
          <w:sz w:val="21"/>
        </w:rPr>
        <w:t>Dedicated memory modes + multi-depth virtual-node sampling give the photonic circuit genuine short-term memory at zero additional hardware cost — a novel architectural contribution beyond all prior QRC work.</w:t>
      </w:r>
    </w:p>
    <w:p>
      <w:pPr>
        <w:pStyle w:val="ListBullet"/>
        <w:spacing w:after="60"/>
      </w:pPr>
      <w:r>
        <w:rPr>
          <w:b/>
          <w:color w:val="E3000F"/>
          <w:sz w:val="21"/>
        </w:rPr>
        <w:t xml:space="preserve">Hardware-ready on near-term photonic processors: </w:t>
      </w:r>
      <w:r>
        <w:rPr>
          <w:b w:val="0"/>
          <w:color w:val="1E293B"/>
          <w:sz w:val="21"/>
        </w:rPr>
        <w:t>Built entirely on Quandela MerLin. No error correction. No cryogenic cooling. No qubit fragility. Compatible with today's photonic chips and a clear upgrade path as photon-number resolving detectors mature.</w:t>
      </w:r>
    </w:p>
    <w:p>
      <w:pPr>
        <w:pStyle w:val="ListBullet"/>
        <w:spacing w:after="60"/>
      </w:pPr>
      <w:r>
        <w:rPr>
          <w:b/>
          <w:color w:val="E3000F"/>
          <w:sz w:val="21"/>
        </w:rPr>
        <w:t xml:space="preserve">Scalable ensemble blueprint for quantum ML: </w:t>
      </w:r>
      <w:r>
        <w:rPr>
          <w:b w:val="0"/>
          <w:color w:val="1E293B"/>
          <w:sz w:val="21"/>
        </w:rPr>
        <w:t>LexGrouping + multi-seed ensembling (3 seeds × 3 virtual depths = 9 circuits) tames the exponentially large Fock space into 90 tractable features — a production-ready pattern for quantum-classical hybrid pipelines.</w:t>
      </w:r>
    </w:p>
    <w:p>
      <w:pPr>
        <w:pStyle w:val="ListBullet"/>
        <w:spacing w:after="60"/>
      </w:pPr>
      <w:r>
        <w:rPr>
          <w:b/>
          <w:color w:val="E3000F"/>
          <w:sz w:val="21"/>
        </w:rPr>
        <w:t xml:space="preserve">Impact beyond finance: </w:t>
      </w:r>
      <w:r>
        <w:rPr>
          <w:b w:val="0"/>
          <w:color w:val="1E293B"/>
          <w:sz w:val="21"/>
        </w:rPr>
        <w:t>The HPT-QRC architecture is domain-agnostic. The same temporal memory + photonic reservoir pattern applies to any high-dimensional, non-stationary time-series — from climate modelling to neuronal spike prediction.</w:t>
      </w:r>
    </w:p>
    <w:p/>
    <w:p>
      <w:pPr>
        <w:jc w:val="center"/>
      </w:pPr>
      <w:r>
        <w:rPr>
          <w:b w:val="0"/>
          <w:i/>
          <w:color w:val="1E293B"/>
          <w:sz w:val="22"/>
        </w:rPr>
        <w:t>"Teaching photons to predict the market — so we can finally sleep."</w:t>
      </w:r>
    </w:p>
    <w:p/>
    <w:p>
      <w:pPr>
        <w:spacing w:before="120" w:after="120"/>
        <w:jc w:val="center"/>
        <w:shd w:val="clear" w:color="auto" w:fill="1E293B"/>
      </w:pPr>
      <w:r>
        <w:rPr>
          <w:rFonts w:ascii="Calibri" w:hAnsi="Calibri"/>
          <w:b w:val="0"/>
          <w:i w:val="0"/>
          <w:color w:val="94A3B8"/>
          <w:sz w:val="18"/>
        </w:rPr>
        <w:t>Team Qedi  ·  EPFL Quantum Hackathon 2026  ·  Quandela Challenge  ·  github.com/HUmutI/EPFL-Quandela-Qedi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e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