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8"/>
          <w:szCs w:val="48"/>
        </w:rPr>
        <w:t xml:space="preserve">Comprehensive Reproducibility Guide</w:t>
      </w:r>
    </w:p>
    <w:p>
      <w:pPr>
        <w:spacing w:after="120"/>
        <w:jc w:val="center"/>
      </w:pPr>
      <w:r>
        <w:rPr>
          <w:rFonts w:ascii="Arial" w:cs="Arial" w:eastAsia="Arial" w:hAnsi="Arial"/>
          <w:color w:val="2E75B6"/>
          <w:sz w:val="28"/>
          <w:szCs w:val="28"/>
        </w:rPr>
        <w:t xml:space="preserve">PFAS Occurrence in US Public Water Systems:</w:t>
      </w:r>
    </w:p>
    <w:p>
      <w:pPr>
        <w:spacing w:after="400"/>
        <w:jc w:val="center"/>
      </w:pPr>
      <w:r>
        <w:rPr>
          <w:rFonts w:ascii="Arial" w:cs="Arial" w:eastAsia="Arial" w:hAnsi="Arial"/>
          <w:color w:val="2E75B6"/>
          <w:sz w:val="28"/>
          <w:szCs w:val="28"/>
        </w:rPr>
        <w:t xml:space="preserve">Analysis of EPA UCMR 5 Monitoring Data Against the 2024 NPDWR</w:t>
      </w:r>
    </w:p>
    <w:p>
      <w:pPr>
        <w:pBdr>
          <w:top w:val="single" w:color="1F4E79" w:sz="6" w:space="12"/>
        </w:pBdr>
        <w:spacing w:after="120"/>
        <w:jc w:val="center"/>
      </w:pPr>
      <w:r>
        <w:rPr>
          <w:rFonts w:ascii="Arial" w:cs="Arial" w:eastAsia="Arial" w:hAnsi="Arial"/>
          <w:i/>
          <w:iCs/>
          <w:color w:val="666666"/>
          <w:sz w:val="24"/>
          <w:szCs w:val="24"/>
        </w:rPr>
        <w:t xml:space="preserve">Target Journal: ACS ES&amp;T Water</w:t>
      </w:r>
    </w:p>
    <w:p>
      <w:pPr>
        <w:spacing w:after="120"/>
        <w:jc w:val="center"/>
      </w:pPr>
      <w:r>
        <w:rPr>
          <w:rFonts w:ascii="Arial" w:cs="Arial" w:eastAsia="Arial" w:hAnsi="Arial"/>
          <w:color w:val="666666"/>
          <w:sz w:val="24"/>
          <w:szCs w:val="24"/>
        </w:rPr>
        <w:t xml:space="preserve">Version 2.0 — March 2026</w:t>
      </w:r>
    </w:p>
    <w:p>
      <w:pPr>
        <w:spacing w:after="120"/>
        <w:jc w:val="center"/>
      </w:pPr>
      <w:r>
        <w:rPr>
          <w:rFonts w:ascii="Arial" w:cs="Arial" w:eastAsia="Arial" w:hAnsi="Arial"/>
          <w:color w:val="666666"/>
          <w:sz w:val="22"/>
          <w:szCs w:val="22"/>
        </w:rPr>
        <w:t xml:space="preserve">Based on EPA UCMR 5 Data (January 2026 Update)</w:t>
      </w:r>
    </w:p>
    <w:p>
      <w:pPr>
        <w:spacing w:before="1200"/>
      </w:pPr>
    </w:p>
    <w:p>
      <w:pPr>
        <w:spacing w:after="60"/>
        <w:jc w:val="center"/>
      </w:pPr>
      <w:r>
        <w:rPr>
          <w:rFonts w:ascii="Arial" w:cs="Arial" w:eastAsia="Arial" w:hAnsi="Arial"/>
          <w:color w:val="404040"/>
          <w:sz w:val="22"/>
          <w:szCs w:val="22"/>
        </w:rPr>
        <w:t xml:space="preserve">This document provides complete step-by-step instructions for</w:t>
      </w:r>
    </w:p>
    <w:p>
      <w:pPr>
        <w:spacing w:after="60"/>
        <w:jc w:val="center"/>
      </w:pPr>
      <w:r>
        <w:rPr>
          <w:rFonts w:ascii="Arial" w:cs="Arial" w:eastAsia="Arial" w:hAnsi="Arial"/>
          <w:color w:val="404040"/>
          <w:sz w:val="22"/>
          <w:szCs w:val="22"/>
        </w:rPr>
        <w:t xml:space="preserve">reproducing all analyses, figures, and statistics reported in the manuscript.</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rPr>
        <w:t xml:space="preserve">1. Project Overview</w:t>
      </w:r>
    </w:p>
    <w:p>
      <w:pPr>
        <w:spacing w:after="120" w:before="0" w:line="276"/>
      </w:pPr>
      <w:r>
        <w:rPr>
          <w:rFonts w:ascii="Arial" w:cs="Arial" w:eastAsia="Arial" w:hAnsi="Arial"/>
          <w:sz w:val="22"/>
          <w:szCs w:val="22"/>
        </w:rPr>
        <w:t xml:space="preserve">This document is the comprehensive reproducibility guide for the manuscript analyzing PFAS (per- and polyfluoroalkyl substances) occurrence in United States public water systems using the EPA Fifth Unregulated Contaminant Monitoring Rule (UCMR 5) dataset. The analysis uses the January 2026 data update, which represents approximately 95% of expected monitoring results and covers 10,297 public water systems (PWS) across all 50 states plus 7 territories.</w:t>
      </w:r>
    </w:p>
    <w:p>
      <w:pPr>
        <w:spacing w:after="120" w:before="0" w:line="276"/>
      </w:pPr>
      <w:r>
        <w:rPr>
          <w:rFonts w:ascii="Arial" w:cs="Arial" w:eastAsia="Arial" w:hAnsi="Arial"/>
          <w:sz w:val="22"/>
          <w:szCs w:val="22"/>
        </w:rPr>
        <w:t xml:space="preserve">The manuscript evaluates national PFAS contamination patterns against the first enforceable Maximum Contaminant Levels (MCLs) established by the April 2024 National Primary Drinking Water Regulation (NPDWR). This guide details every step from raw data acquisition through final figure generation, including all statistical methods, their rationale, assumptions, software dependencies, and output file mappings.</w:t>
      </w:r>
    </w:p>
    <w:p>
      <w:pPr>
        <w:pStyle w:val="Heading2"/>
        <w:spacing w:after="120" w:before="240"/>
      </w:pPr>
      <w:r>
        <w:rPr>
          <w:rFonts w:ascii="Arial" w:cs="Arial" w:eastAsia="Arial" w:hAnsi="Arial"/>
        </w:rPr>
        <w:t xml:space="preserve">1.1 Study Objectives</w:t>
      </w:r>
    </w:p>
    <w:p>
      <w:pPr>
        <w:spacing w:after="120" w:before="0" w:line="276"/>
      </w:pPr>
      <w:r>
        <w:rPr>
          <w:rFonts w:ascii="Arial" w:cs="Arial" w:eastAsia="Arial" w:hAnsi="Arial"/>
          <w:sz w:val="22"/>
          <w:szCs w:val="22"/>
        </w:rPr>
        <w:t xml:space="preserve">The manuscript addresses six research objectives:</w:t>
      </w:r>
    </w:p>
    <w:p>
      <w:pPr>
        <w:pStyle w:val="ListParagraph"/>
        <w:numPr>
          <w:ilvl w:val="0"/>
          <w:numId w:val="2"/>
        </w:numPr>
        <w:spacing w:after="60" w:line="276"/>
      </w:pPr>
      <w:r>
        <w:rPr>
          <w:rFonts w:ascii="Arial" w:cs="Arial" w:eastAsia="Arial" w:hAnsi="Arial"/>
          <w:sz w:val="22"/>
          <w:szCs w:val="22"/>
        </w:rPr>
        <w:t xml:space="preserve">Characterize detection frequencies and concentration distributions for all 29 PFAS analytes monitored under UCMR 5.</w:t>
      </w:r>
    </w:p>
    <w:p>
      <w:pPr>
        <w:pStyle w:val="ListParagraph"/>
        <w:numPr>
          <w:ilvl w:val="0"/>
          <w:numId w:val="2"/>
        </w:numPr>
        <w:spacing w:after="60" w:line="276"/>
      </w:pPr>
      <w:r>
        <w:rPr>
          <w:rFonts w:ascii="Arial" w:cs="Arial" w:eastAsia="Arial" w:hAnsi="Arial"/>
          <w:sz w:val="22"/>
          <w:szCs w:val="22"/>
        </w:rPr>
        <w:t xml:space="preserve">Quantify screening-level MCL exceedances and Hazard Index (HI) exceedances as indicators of potential noncompliance.</w:t>
      </w:r>
    </w:p>
    <w:p>
      <w:pPr>
        <w:pStyle w:val="ListParagraph"/>
        <w:numPr>
          <w:ilvl w:val="0"/>
          <w:numId w:val="2"/>
        </w:numPr>
        <w:spacing w:after="60" w:line="276"/>
      </w:pPr>
      <w:r>
        <w:rPr>
          <w:rFonts w:ascii="Arial" w:cs="Arial" w:eastAsia="Arial" w:hAnsi="Arial"/>
          <w:sz w:val="22"/>
          <w:szCs w:val="22"/>
        </w:rPr>
        <w:t xml:space="preserve">Identify geographic, demographic, and system-level predictors of PFAS detection using logistic regression models.</w:t>
      </w:r>
    </w:p>
    <w:p>
      <w:pPr>
        <w:pStyle w:val="ListParagraph"/>
        <w:numPr>
          <w:ilvl w:val="0"/>
          <w:numId w:val="2"/>
        </w:numPr>
        <w:spacing w:after="60" w:line="276"/>
      </w:pPr>
      <w:r>
        <w:rPr>
          <w:rFonts w:ascii="Arial" w:cs="Arial" w:eastAsia="Arial" w:hAnsi="Arial"/>
          <w:sz w:val="22"/>
          <w:szCs w:val="22"/>
        </w:rPr>
        <w:t xml:space="preserve">Analyze co-occurrence patterns and PFAS chemical fingerprints using Multiple Correspondence Analysis (MCA).</w:t>
      </w:r>
    </w:p>
    <w:p>
      <w:pPr>
        <w:pStyle w:val="ListParagraph"/>
        <w:numPr>
          <w:ilvl w:val="0"/>
          <w:numId w:val="2"/>
        </w:numPr>
        <w:spacing w:after="60" w:line="276"/>
      </w:pPr>
      <w:r>
        <w:rPr>
          <w:rFonts w:ascii="Arial" w:cs="Arial" w:eastAsia="Arial" w:hAnsi="Arial"/>
          <w:sz w:val="22"/>
          <w:szCs w:val="22"/>
        </w:rPr>
        <w:t xml:space="preserve">Compare detection rates between UCMR 3 (2013–2015) and UCMR 5 (2023–2025) in matched systems.</w:t>
      </w:r>
    </w:p>
    <w:p>
      <w:pPr>
        <w:pStyle w:val="ListParagraph"/>
        <w:numPr>
          <w:ilvl w:val="0"/>
          <w:numId w:val="2"/>
        </w:numPr>
        <w:spacing w:after="120" w:line="276"/>
      </w:pPr>
      <w:r>
        <w:rPr>
          <w:rFonts w:ascii="Arial" w:cs="Arial" w:eastAsia="Arial" w:hAnsi="Arial"/>
          <w:sz w:val="22"/>
          <w:szCs w:val="22"/>
        </w:rPr>
        <w:t xml:space="preserve">Estimate population exposure and evaluate the treatment implementation gap relative to the 2029 NPDWR compliance deadline.</w:t>
      </w:r>
    </w:p>
    <w:p>
      <w:pPr>
        <w:pStyle w:val="Heading2"/>
        <w:spacing w:after="120" w:before="240"/>
      </w:pPr>
      <w:r>
        <w:rPr>
          <w:rFonts w:ascii="Arial" w:cs="Arial" w:eastAsia="Arial" w:hAnsi="Arial"/>
        </w:rPr>
        <w:t xml:space="preserve">1.2 Key Analytical Constants</w:t>
      </w:r>
    </w:p>
    <w:p>
      <w:pPr>
        <w:spacing w:after="120" w:before="0" w:line="276"/>
      </w:pPr>
      <w:r>
        <w:rPr>
          <w:rFonts w:ascii="Arial" w:cs="Arial" w:eastAsia="Arial" w:hAnsi="Arial"/>
          <w:sz w:val="22"/>
          <w:szCs w:val="22"/>
        </w:rPr>
        <w:t xml:space="preserve">The following regulatory thresholds are used throughout all analyses. These are defined in the April 2024 NPDWR final rule:</w:t>
      </w:r>
    </w:p>
    <w:p>
      <w:pPr>
        <w:spacing w:after="120" w:line="276"/>
      </w:pPr>
      <w:r>
        <w:rPr>
          <w:rFonts w:ascii="Arial" w:cs="Arial" w:eastAsia="Arial" w:hAnsi="Arial"/>
          <w:b/>
          <w:bCs/>
          <w:sz w:val="22"/>
          <w:szCs w:val="22"/>
        </w:rPr>
        <w:t xml:space="preserve">Individual MCL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Compound</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MCL (ng/L)</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MCL (µg/L)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PFOA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PFHxS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HFPO-DA (GenX)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w:t>
            </w:r>
          </w:p>
        </w:tc>
      </w:tr>
    </w:tbl>
    <w:p>
      <w:pPr>
        <w:spacing w:after="120" w:before="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Hazard Index (HI) Health-Based Water Concentrations (HBWCs):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HI Component</w:t>
            </w:r>
          </w:p>
        </w:tc>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HBWC (ng/L)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PFHxS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HFPO-DA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PFBS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w:t>
            </w:r>
          </w:p>
        </w:tc>
      </w:tr>
    </w:tbl>
    <w:p>
      <w:pPr>
        <w:spacing w:after="120" w:before="0" w:line="276"/>
      </w:pPr>
      <w:r>
        <w:rPr>
          <w:rFonts w:ascii="Arial" w:cs="Arial" w:eastAsia="Arial" w:hAnsi="Arial"/>
          <w:sz w:val="22"/>
          <w:szCs w:val="22"/>
        </w:rPr>
        <w:t xml:space="preserve">The HI is calculated as: HI = Σ(Cᵢ / HBWCᵢ) for the four components above. An HI &gt; 1.0 with at least two HI-component detections constitutes an HI exceedance under the NPDWR.</w:t>
      </w:r>
    </w:p>
    <w:p>
      <w:r>
        <w:br w:type="page"/>
      </w:r>
    </w:p>
    <w:p>
      <w:pPr>
        <w:pStyle w:val="Heading1"/>
        <w:spacing w:after="120" w:before="360"/>
      </w:pPr>
      <w:r>
        <w:rPr>
          <w:rFonts w:ascii="Arial" w:cs="Arial" w:eastAsia="Arial" w:hAnsi="Arial"/>
        </w:rPr>
        <w:t xml:space="preserve">2. Repository Structure</w:t>
      </w:r>
    </w:p>
    <w:p>
      <w:pPr>
        <w:spacing w:after="120" w:before="0" w:line="276"/>
      </w:pPr>
      <w:r>
        <w:rPr>
          <w:rFonts w:ascii="Arial" w:cs="Arial" w:eastAsia="Arial" w:hAnsi="Arial"/>
          <w:sz w:val="22"/>
          <w:szCs w:val="22"/>
        </w:rPr>
        <w:t xml:space="preserve">The project is organized into seven top-level directories. The total repository contains 245 files across all subdirectories.</w:t>
      </w:r>
    </w:p>
    <w:p>
      <w:pPr>
        <w:shd w:fill="F5F5F5" w:val="clear"/>
        <w:spacing w:after="120"/>
        <w:ind w:left="360"/>
      </w:pPr>
      <w:r>
        <w:rPr>
          <w:rFonts w:ascii="Courier New" w:cs="Courier New" w:eastAsia="Courier New" w:hAnsi="Courier New"/>
          <w:sz w:val="18"/>
          <w:szCs w:val="18"/>
        </w:rPr>
        <w:t xml:space="preserve">PFAS_UCMR5_Submission/</w:t>
      </w:r>
    </w:p>
    <w:p>
      <w:pPr>
        <w:shd w:fill="F5F5F5" w:val="clear"/>
        <w:spacing w:after="120"/>
        <w:ind w:left="360"/>
      </w:pPr>
      <w:r>
        <w:rPr>
          <w:rFonts w:ascii="Courier New" w:cs="Courier New" w:eastAsia="Courier New" w:hAnsi="Courier New"/>
          <w:sz w:val="18"/>
          <w:szCs w:val="18"/>
        </w:rPr>
        <w:t xml:space="preserve">├── 01_Manuscript/           ← Manuscript and SI (.docx)</w:t>
      </w:r>
    </w:p>
    <w:p>
      <w:pPr>
        <w:shd w:fill="F5F5F5" w:val="clear"/>
        <w:spacing w:after="120"/>
        <w:ind w:left="360"/>
      </w:pPr>
      <w:r>
        <w:rPr>
          <w:rFonts w:ascii="Courier New" w:cs="Courier New" w:eastAsia="Courier New" w:hAnsi="Courier New"/>
          <w:sz w:val="18"/>
          <w:szCs w:val="18"/>
        </w:rPr>
        <w:t xml:space="preserve">├── 02_Data/</w:t>
      </w:r>
    </w:p>
    <w:p>
      <w:pPr>
        <w:shd w:fill="F5F5F5" w:val="clear"/>
        <w:spacing w:after="120"/>
        <w:ind w:left="360"/>
      </w:pPr>
      <w:r>
        <w:rPr>
          <w:rFonts w:ascii="Courier New" w:cs="Courier New" w:eastAsia="Courier New" w:hAnsi="Courier New"/>
          <w:sz w:val="18"/>
          <w:szCs w:val="18"/>
        </w:rPr>
        <w:t xml:space="preserve">│   ├── 01_Raw/              ← 8 subdirectories of source data</w:t>
      </w:r>
    </w:p>
    <w:p>
      <w:pPr>
        <w:shd w:fill="F5F5F5" w:val="clear"/>
        <w:spacing w:after="120"/>
        <w:ind w:left="360"/>
      </w:pPr>
      <w:r>
        <w:rPr>
          <w:rFonts w:ascii="Courier New" w:cs="Courier New" w:eastAsia="Courier New" w:hAnsi="Courier New"/>
          <w:sz w:val="18"/>
          <w:szCs w:val="18"/>
        </w:rPr>
        <w:t xml:space="preserve">│   └── 02_Output/           ← 88 output CSVs from analysis</w:t>
      </w:r>
    </w:p>
    <w:p>
      <w:pPr>
        <w:shd w:fill="F5F5F5" w:val="clear"/>
        <w:spacing w:after="120"/>
        <w:ind w:left="360"/>
      </w:pPr>
      <w:r>
        <w:rPr>
          <w:rFonts w:ascii="Courier New" w:cs="Courier New" w:eastAsia="Courier New" w:hAnsi="Courier New"/>
          <w:sz w:val="18"/>
          <w:szCs w:val="18"/>
        </w:rPr>
        <w:t xml:space="preserve">├── 03_Scripts/</w:t>
      </w:r>
    </w:p>
    <w:p>
      <w:pPr>
        <w:shd w:fill="F5F5F5" w:val="clear"/>
        <w:spacing w:after="120"/>
        <w:ind w:left="360"/>
      </w:pPr>
      <w:r>
        <w:rPr>
          <w:rFonts w:ascii="Courier New" w:cs="Courier New" w:eastAsia="Courier New" w:hAnsi="Courier New"/>
          <w:sz w:val="18"/>
          <w:szCs w:val="18"/>
        </w:rPr>
        <w:t xml:space="preserve">│   ├── 01_Analysis/         ← 7 Python analysis pipelines</w:t>
      </w:r>
    </w:p>
    <w:p>
      <w:pPr>
        <w:shd w:fill="F5F5F5" w:val="clear"/>
        <w:spacing w:after="120"/>
        <w:ind w:left="360"/>
      </w:pPr>
      <w:r>
        <w:rPr>
          <w:rFonts w:ascii="Courier New" w:cs="Courier New" w:eastAsia="Courier New" w:hAnsi="Courier New"/>
          <w:sz w:val="18"/>
          <w:szCs w:val="18"/>
        </w:rPr>
        <w:t xml:space="preserve">│   └── 02_Figures/          ← 18 figure generation scripts</w:t>
      </w:r>
    </w:p>
    <w:p>
      <w:pPr>
        <w:shd w:fill="F5F5F5" w:val="clear"/>
        <w:spacing w:after="120"/>
        <w:ind w:left="360"/>
      </w:pPr>
      <w:r>
        <w:rPr>
          <w:rFonts w:ascii="Courier New" w:cs="Courier New" w:eastAsia="Courier New" w:hAnsi="Courier New"/>
          <w:sz w:val="18"/>
          <w:szCs w:val="18"/>
        </w:rPr>
        <w:t xml:space="preserve">├── 04_Figures/</w:t>
      </w:r>
    </w:p>
    <w:p>
      <w:pPr>
        <w:shd w:fill="F5F5F5" w:val="clear"/>
        <w:spacing w:after="120"/>
        <w:ind w:left="360"/>
      </w:pPr>
      <w:r>
        <w:rPr>
          <w:rFonts w:ascii="Courier New" w:cs="Courier New" w:eastAsia="Courier New" w:hAnsi="Courier New"/>
          <w:sz w:val="18"/>
          <w:szCs w:val="18"/>
        </w:rPr>
        <w:t xml:space="preserve">│   ├── 01_Main/             ← Figures 1–6 (PDF + PNG, 600 DPI)</w:t>
      </w:r>
    </w:p>
    <w:p>
      <w:pPr>
        <w:shd w:fill="F5F5F5" w:val="clear"/>
        <w:spacing w:after="120"/>
        <w:ind w:left="360"/>
      </w:pPr>
      <w:r>
        <w:rPr>
          <w:rFonts w:ascii="Courier New" w:cs="Courier New" w:eastAsia="Courier New" w:hAnsi="Courier New"/>
          <w:sz w:val="18"/>
          <w:szCs w:val="18"/>
        </w:rPr>
        <w:t xml:space="preserve">│   └── 02_Supplementary/    ← Figures S1–S12 (PDF + PNG)</w:t>
      </w:r>
    </w:p>
    <w:p>
      <w:pPr>
        <w:shd w:fill="F5F5F5" w:val="clear"/>
        <w:spacing w:after="120"/>
        <w:ind w:left="360"/>
      </w:pPr>
      <w:r>
        <w:rPr>
          <w:rFonts w:ascii="Courier New" w:cs="Courier New" w:eastAsia="Courier New" w:hAnsi="Courier New"/>
          <w:sz w:val="18"/>
          <w:szCs w:val="18"/>
        </w:rPr>
        <w:t xml:space="preserve">├── 05_Supplementary_Tables/   ← SI Tables (embedded in SI .docx)</w:t>
      </w:r>
    </w:p>
    <w:p>
      <w:pPr>
        <w:shd w:fill="F5F5F5" w:val="clear"/>
        <w:spacing w:after="120"/>
        <w:ind w:left="360"/>
      </w:pPr>
      <w:r>
        <w:rPr>
          <w:rFonts w:ascii="Courier New" w:cs="Courier New" w:eastAsia="Courier New" w:hAnsi="Courier New"/>
          <w:sz w:val="18"/>
          <w:szCs w:val="18"/>
        </w:rPr>
        <w:t xml:space="preserve">├── 06_Documentation/          ← README, data dictionary, changelog</w:t>
      </w:r>
    </w:p>
    <w:p>
      <w:pPr>
        <w:shd w:fill="F5F5F5" w:val="clear"/>
        <w:spacing w:after="120"/>
        <w:ind w:left="360"/>
      </w:pPr>
      <w:r>
        <w:rPr>
          <w:rFonts w:ascii="Courier New" w:cs="Courier New" w:eastAsia="Courier New" w:hAnsi="Courier New"/>
          <w:sz w:val="18"/>
          <w:szCs w:val="18"/>
        </w:rPr>
        <w:t xml:space="preserve">└── 07_TOC_Art/                ← Table of Contents graphic</w:t>
      </w:r>
    </w:p>
    <w:p>
      <w:r>
        <w:br w:type="page"/>
      </w:r>
    </w:p>
    <w:p>
      <w:pPr>
        <w:pStyle w:val="Heading1"/>
        <w:spacing w:after="120" w:before="360"/>
      </w:pPr>
      <w:r>
        <w:rPr>
          <w:rFonts w:ascii="Arial" w:cs="Arial" w:eastAsia="Arial" w:hAnsi="Arial"/>
        </w:rPr>
        <w:t xml:space="preserve">3. Data Sources and Acquisition</w:t>
      </w:r>
    </w:p>
    <w:p>
      <w:pPr>
        <w:spacing w:after="120" w:before="0" w:line="276"/>
      </w:pPr>
      <w:r>
        <w:rPr>
          <w:rFonts w:ascii="Arial" w:cs="Arial" w:eastAsia="Arial" w:hAnsi="Arial"/>
          <w:sz w:val="22"/>
          <w:szCs w:val="22"/>
        </w:rPr>
        <w:t xml:space="preserve">All raw data are publicly available from US federal agencies. This section documents each data source, its acquisition date, URL, and location within the repository.</w:t>
      </w:r>
    </w:p>
    <w:p>
      <w:pPr>
        <w:pStyle w:val="Heading2"/>
        <w:spacing w:after="120" w:before="240"/>
      </w:pPr>
      <w:r>
        <w:rPr>
          <w:rFonts w:ascii="Arial" w:cs="Arial" w:eastAsia="Arial" w:hAnsi="Arial"/>
        </w:rPr>
        <w:t xml:space="preserve">3.1 EPA UCMR 5 Monitoring Data (Primary Dataset)</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US EPA Office of Ground Water and Drinking Water</w:t>
      </w:r>
    </w:p>
    <w:p>
      <w:pPr>
        <w:spacing w:after="120" w:line="276"/>
      </w:pPr>
      <w:r>
        <w:rPr>
          <w:rFonts w:ascii="Arial" w:cs="Arial" w:eastAsia="Arial" w:hAnsi="Arial"/>
          <w:b/>
          <w:bCs/>
          <w:sz w:val="22"/>
          <w:szCs w:val="22"/>
        </w:rPr>
        <w:t xml:space="preserve">URL: </w:t>
      </w:r>
      <w:r>
        <w:rPr>
          <w:rFonts w:ascii="Arial" w:cs="Arial" w:eastAsia="Arial" w:hAnsi="Arial"/>
          <w:sz w:val="22"/>
          <w:szCs w:val="22"/>
        </w:rPr>
        <w:t xml:space="preserve">https://www.epa.gov/dwucmr/occurrence-data-unregulated-contaminant-monitoring-rule</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02_Data/01_Raw/02_UCMR5_Jan2025_Update/UCMR5_All.txt</w:t>
      </w:r>
    </w:p>
    <w:p>
      <w:pPr>
        <w:spacing w:after="120" w:line="276"/>
      </w:pPr>
      <w:r>
        <w:rPr>
          <w:rFonts w:ascii="Arial" w:cs="Arial" w:eastAsia="Arial" w:hAnsi="Arial"/>
          <w:b/>
          <w:bCs/>
          <w:sz w:val="22"/>
          <w:szCs w:val="22"/>
        </w:rPr>
        <w:t xml:space="preserve">Format: </w:t>
      </w:r>
      <w:r>
        <w:rPr>
          <w:rFonts w:ascii="Arial" w:cs="Arial" w:eastAsia="Arial" w:hAnsi="Arial"/>
          <w:sz w:val="22"/>
          <w:szCs w:val="22"/>
        </w:rPr>
        <w:t xml:space="preserve">Tab-delimited text file</w:t>
      </w:r>
    </w:p>
    <w:p>
      <w:pPr>
        <w:spacing w:after="120" w:before="0" w:line="276"/>
      </w:pPr>
      <w:r>
        <w:rPr>
          <w:rFonts w:ascii="Arial" w:cs="Arial" w:eastAsia="Arial" w:hAnsi="Arial"/>
          <w:sz w:val="22"/>
          <w:szCs w:val="22"/>
        </w:rPr>
        <w:t xml:space="preserve">This file contains all analytical results from UCMR 5 monitoring. Each row represents a single analytical result for one PFAS compound at one sampling event for one PWS. Key columns include PWSID (system identifier), Contaminant (PFAS compound name), AnalyticalResultValue (concentration in µg/L), AnalyticalResultsSign (= for detected, &lt; for non-detect), CollectionDate, and FacilityWaterType. The January 2026 update represents approximately 95% of expected results.</w:t>
      </w:r>
    </w:p>
    <w:p>
      <w:pPr>
        <w:spacing w:after="120" w:before="0" w:line="276"/>
      </w:pPr>
      <w:r>
        <w:rPr>
          <w:rFonts w:ascii="Arial" w:cs="Arial" w:eastAsia="Arial" w:hAnsi="Arial"/>
          <w:sz w:val="22"/>
          <w:szCs w:val="22"/>
        </w:rPr>
        <w:t xml:space="preserve">An earlier version of the dataset (initial UCMR 5 release) is archived in 02_Data/01_Raw/01_UCMR5/ but is not used in the analysis. Only the January 2026 update is used.</w:t>
      </w:r>
    </w:p>
    <w:p>
      <w:pPr>
        <w:pStyle w:val="Heading2"/>
        <w:spacing w:after="120" w:before="240"/>
      </w:pPr>
      <w:r>
        <w:rPr>
          <w:rFonts w:ascii="Arial" w:cs="Arial" w:eastAsia="Arial" w:hAnsi="Arial"/>
        </w:rPr>
        <w:t xml:space="preserve">3.2 EPA UCMR 3 Historical Data</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US EPA (same UCMR portal as above)</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02_Data/01_Raw/03_UCMR3/UCMR3_All.txt</w:t>
      </w:r>
    </w:p>
    <w:p>
      <w:pPr>
        <w:spacing w:after="120" w:before="0" w:line="276"/>
      </w:pPr>
      <w:r>
        <w:rPr>
          <w:rFonts w:ascii="Arial" w:cs="Arial" w:eastAsia="Arial" w:hAnsi="Arial"/>
          <w:sz w:val="22"/>
          <w:szCs w:val="22"/>
        </w:rPr>
        <w:t xml:space="preserve">UCMR 3 monitored for 6 PFAS compounds during 2013–2015 at a much higher MRL than UCMR 5. This dataset is used exclusively for the matched-system temporal comparison (Script 04). Six shared compounds exist between UCMR 3 and UCMR 5: PFOS, PFOA, PFHxS, PFNA, PFBS, and PFHpA.</w:t>
      </w:r>
    </w:p>
    <w:p>
      <w:pPr>
        <w:pStyle w:val="Heading2"/>
        <w:spacing w:after="120" w:before="240"/>
      </w:pPr>
      <w:r>
        <w:rPr>
          <w:rFonts w:ascii="Arial" w:cs="Arial" w:eastAsia="Arial" w:hAnsi="Arial"/>
        </w:rPr>
        <w:t xml:space="preserve">3.3 EPA SDWIS (Safe Drinking Water Information System)</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US EPA SDWIS Federal Reporting Services</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02_Data/01_Raw/04_SDWIS/ (11 CSV files)</w:t>
      </w:r>
    </w:p>
    <w:p>
      <w:pPr>
        <w:spacing w:after="120" w:before="0" w:line="276"/>
      </w:pPr>
      <w:r>
        <w:rPr>
          <w:rFonts w:ascii="Arial" w:cs="Arial" w:eastAsia="Arial" w:hAnsi="Arial"/>
          <w:sz w:val="22"/>
          <w:szCs w:val="22"/>
        </w:rPr>
        <w:t xml:space="preserve">SDWIS provides system-level characteristics for all US public water systems, including system name, state, population served, source water type (groundwater vs. surface water), owner type (public vs. private), and EPA Region assignment. These variables are used as predictors in the logistic regression models and for stratified analyses.</w:t>
      </w:r>
    </w:p>
    <w:p>
      <w:pPr>
        <w:pStyle w:val="Heading2"/>
        <w:spacing w:after="120" w:before="240"/>
      </w:pPr>
      <w:r>
        <w:rPr>
          <w:rFonts w:ascii="Arial" w:cs="Arial" w:eastAsia="Arial" w:hAnsi="Arial"/>
        </w:rPr>
        <w:t xml:space="preserve">3.4 American Community Survey (ACS) 2023</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US Census Bureau, 2023 5-Year ACS</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02_Data/01_Raw/05_Census/</w:t>
      </w:r>
    </w:p>
    <w:p>
      <w:pPr>
        <w:spacing w:after="120" w:before="0" w:line="276"/>
      </w:pPr>
      <w:r>
        <w:rPr>
          <w:rFonts w:ascii="Arial" w:cs="Arial" w:eastAsia="Arial" w:hAnsi="Arial"/>
          <w:sz w:val="22"/>
          <w:szCs w:val="22"/>
        </w:rPr>
        <w:t xml:space="preserve">Census data provide population-weighted demographic characteristics for each PWS service area. Variables include total population, population density, and median household income at the ZIP code or census tract level. These are merged to systems via ZIP code matching.</w:t>
      </w:r>
    </w:p>
    <w:p>
      <w:pPr>
        <w:pStyle w:val="Heading2"/>
        <w:spacing w:after="120" w:before="240"/>
      </w:pPr>
      <w:r>
        <w:rPr>
          <w:rFonts w:ascii="Arial" w:cs="Arial" w:eastAsia="Arial" w:hAnsi="Arial"/>
        </w:rPr>
        <w:t xml:space="preserve">3.5 EPA ECHO Environmental Justice Data</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EPA Enforcement and Compliance History Online (ECHO)</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02_Data/01_Raw/06_Demographics/</w:t>
      </w:r>
    </w:p>
    <w:p>
      <w:pPr>
        <w:spacing w:after="120" w:before="0" w:line="276"/>
      </w:pPr>
      <w:r>
        <w:rPr>
          <w:rFonts w:ascii="Arial" w:cs="Arial" w:eastAsia="Arial" w:hAnsi="Arial"/>
          <w:sz w:val="22"/>
          <w:szCs w:val="22"/>
        </w:rPr>
        <w:t xml:space="preserve">ECHO provides demographic characteristics within a 3-mile buffer around each PWS, including percent minority population and percent low-income population. These variables are used in the demographic regression model (secondary model) to assess environmental justice dimensions of PFAS exposure.</w:t>
      </w:r>
    </w:p>
    <w:p>
      <w:pPr>
        <w:pStyle w:val="Heading2"/>
        <w:spacing w:after="120" w:before="240"/>
      </w:pPr>
      <w:r>
        <w:rPr>
          <w:rFonts w:ascii="Arial" w:cs="Arial" w:eastAsia="Arial" w:hAnsi="Arial"/>
        </w:rPr>
        <w:t xml:space="preserve">3.6 PFAS Source Proximity Data</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EPA PFAS Analytic Tools, TRI, and Superfund databases</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02_Data/01_Raw/07_PFAS_Sources/ (7 Excel files)</w:t>
      </w:r>
    </w:p>
    <w:p>
      <w:pPr>
        <w:spacing w:after="120" w:before="0" w:line="276"/>
      </w:pPr>
      <w:r>
        <w:rPr>
          <w:rFonts w:ascii="Arial" w:cs="Arial" w:eastAsia="Arial" w:hAnsi="Arial"/>
          <w:sz w:val="22"/>
          <w:szCs w:val="22"/>
        </w:rPr>
        <w:t xml:space="preserve">Seven source proximity datasets provide distances (in kilometers) from each PWS to the nearest known or potential PFAS source. These include: Superfund sites with PFAS contamination (n=464 sites), documented PFAS spills (n=1,378), federal/military installations (potential AFFF use sites), industry sector facilities (n=208,205), PFAS production facilities, and TRI reporting facilities. Distances are computed as Euclidean distance from PWS centroid to nearest source in each category.</w:t>
      </w:r>
    </w:p>
    <w:p>
      <w:pPr>
        <w:pStyle w:val="Heading2"/>
        <w:spacing w:after="120" w:before="240"/>
      </w:pPr>
      <w:r>
        <w:rPr>
          <w:rFonts w:ascii="Arial" w:cs="Arial" w:eastAsia="Arial" w:hAnsi="Arial"/>
        </w:rPr>
        <w:t xml:space="preserve">3.7 State Boundary Shapefiles</w:t>
      </w: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US Census Bureau TIGER/Line, 2023 1:20,000,000 scale</w:t>
      </w:r>
    </w:p>
    <w:p>
      <w:pPr>
        <w:spacing w:after="120" w:line="276"/>
      </w:pPr>
      <w:r>
        <w:rPr>
          <w:rFonts w:ascii="Arial" w:cs="Arial" w:eastAsia="Arial" w:hAnsi="Arial"/>
          <w:b/>
          <w:bCs/>
          <w:sz w:val="22"/>
          <w:szCs w:val="22"/>
        </w:rPr>
        <w:t xml:space="preserve">Repository Location: </w:t>
      </w:r>
      <w:r>
        <w:rPr>
          <w:rFonts w:ascii="Arial" w:cs="Arial" w:eastAsia="Arial" w:hAnsi="Arial"/>
          <w:sz w:val="22"/>
          <w:szCs w:val="22"/>
        </w:rPr>
        <w:t xml:space="preserve">02_Data/01_Raw/08_Shapefiles/cb_2023_us_state_20m.shp</w:t>
      </w:r>
    </w:p>
    <w:p>
      <w:pPr>
        <w:spacing w:after="120" w:before="0" w:line="276"/>
      </w:pPr>
      <w:r>
        <w:rPr>
          <w:rFonts w:ascii="Arial" w:cs="Arial" w:eastAsia="Arial" w:hAnsi="Arial"/>
          <w:sz w:val="22"/>
          <w:szCs w:val="22"/>
        </w:rPr>
        <w:t xml:space="preserve">Cartographic boundary files used for the choropleth map (Figure 2). The 1:20m scale is appropriate for national-level visualization.</w:t>
      </w:r>
    </w:p>
    <w:p>
      <w:r>
        <w:br w:type="page"/>
      </w:r>
    </w:p>
    <w:p>
      <w:pPr>
        <w:pStyle w:val="Heading1"/>
        <w:spacing w:after="120" w:before="360"/>
      </w:pPr>
      <w:r>
        <w:rPr>
          <w:rFonts w:ascii="Arial" w:cs="Arial" w:eastAsia="Arial" w:hAnsi="Arial"/>
        </w:rPr>
        <w:t xml:space="preserve">4. Data Preprocessing and Merging</w:t>
      </w:r>
    </w:p>
    <w:p>
      <w:pPr>
        <w:spacing w:after="120" w:before="0" w:line="276"/>
      </w:pPr>
      <w:r>
        <w:rPr>
          <w:rFonts w:ascii="Arial" w:cs="Arial" w:eastAsia="Arial" w:hAnsi="Arial"/>
          <w:sz w:val="22"/>
          <w:szCs w:val="22"/>
        </w:rPr>
        <w:t xml:space="preserve">All seven analysis scripts read from the merged analytical dataset. The master dataset construction involves the following steps:</w:t>
      </w:r>
    </w:p>
    <w:p>
      <w:pPr>
        <w:pStyle w:val="Heading2"/>
        <w:spacing w:after="120" w:before="240"/>
      </w:pPr>
      <w:r>
        <w:rPr>
          <w:rFonts w:ascii="Arial" w:cs="Arial" w:eastAsia="Arial" w:hAnsi="Arial"/>
        </w:rPr>
        <w:t xml:space="preserve">4.1 UCMR 5 Data Ingestion</w:t>
      </w:r>
    </w:p>
    <w:p>
      <w:pPr>
        <w:spacing w:after="120" w:line="276"/>
      </w:pPr>
      <w:r>
        <w:rPr>
          <w:rFonts w:ascii="Arial" w:cs="Arial" w:eastAsia="Arial" w:hAnsi="Arial"/>
          <w:b/>
          <w:bCs/>
          <w:sz w:val="22"/>
          <w:szCs w:val="22"/>
        </w:rPr>
        <w:t xml:space="preserve">Input: </w:t>
      </w:r>
      <w:r>
        <w:rPr>
          <w:rFonts w:ascii="Arial" w:cs="Arial" w:eastAsia="Arial" w:hAnsi="Arial"/>
          <w:sz w:val="22"/>
          <w:szCs w:val="22"/>
        </w:rPr>
        <w:t xml:space="preserve">UCMR5_All.txt (tab-delimited)</w:t>
      </w:r>
    </w:p>
    <w:p>
      <w:pPr>
        <w:spacing w:after="120" w:before="0" w:line="276"/>
      </w:pPr>
      <w:r>
        <w:rPr>
          <w:rFonts w:ascii="Arial" w:cs="Arial" w:eastAsia="Arial" w:hAnsi="Arial"/>
          <w:sz w:val="22"/>
          <w:szCs w:val="22"/>
        </w:rPr>
        <w:t xml:space="preserve">The raw UCMR 5 file is loaded with pandas (pd.read_csv with sep=\t). Lithium results are filtered out as lithium is not a PFAS compound (it was included in UCMR 5 for different regulatory purposes). Detection is defined as AnalyticalResultsSign == "=" (meaning the result equals the reported value, as opposed to "&lt;" for non-detect). Non-detect results have AnalyticalResultValue equal to the MRL.</w:t>
      </w:r>
    </w:p>
    <w:p>
      <w:pPr>
        <w:spacing w:after="120" w:before="0" w:line="276"/>
      </w:pPr>
      <w:r>
        <w:rPr>
          <w:rFonts w:ascii="Arial" w:cs="Arial" w:eastAsia="Arial" w:hAnsi="Arial"/>
          <w:sz w:val="22"/>
          <w:szCs w:val="22"/>
        </w:rPr>
        <w:t xml:space="preserve">For each PWS, the script aggregates across all sampling events to determine: (a) whether each compound was ever detected (binary flag), (b) the maximum concentration observed across all sampling events for each compound, and (c) the total number of distinct PFAS compounds detected. This system-level aggregation is the analytical unit throughout the manuscript.</w:t>
      </w:r>
    </w:p>
    <w:p>
      <w:pPr>
        <w:pStyle w:val="Heading2"/>
        <w:spacing w:after="120" w:before="240"/>
      </w:pPr>
      <w:r>
        <w:rPr>
          <w:rFonts w:ascii="Arial" w:cs="Arial" w:eastAsia="Arial" w:hAnsi="Arial"/>
        </w:rPr>
        <w:t xml:space="preserve">4.2 Known Data Quality Issues and Corrections</w:t>
      </w:r>
    </w:p>
    <w:p>
      <w:pPr>
        <w:spacing w:after="120" w:line="276"/>
      </w:pPr>
      <w:r>
        <w:rPr>
          <w:rFonts w:ascii="Arial" w:cs="Arial" w:eastAsia="Arial" w:hAnsi="Arial"/>
          <w:b/>
          <w:bCs/>
          <w:sz w:val="22"/>
          <w:szCs w:val="22"/>
        </w:rPr>
        <w:t xml:space="preserve">FIPS Aggregation Bug (discovered February 2026): </w:t>
      </w:r>
      <w:r>
        <w:rPr>
          <w:rFonts w:ascii="Arial" w:cs="Arial" w:eastAsia="Arial" w:hAnsi="Arial"/>
          <w:sz w:val="22"/>
          <w:szCs w:val="22"/>
        </w:rPr>
        <w:t xml:space="preserve">Eight states (Alabama through Delaware alphabetically) had split records in geographic analyses due to inconsistent use of numeric FIPS codes versus state abbreviations in different source files. This was corrected by standardizing all state identifiers to two-letter abbreviations before aggregation. All output CSVs with "_CORRECTED" suffix reflect this fix. Original buggy files with "_ORIGINAL_FIPS_BUG" suffix have been excluded from the repository.</w:t>
      </w:r>
    </w:p>
    <w:p>
      <w:pPr>
        <w:spacing w:after="120" w:line="276"/>
      </w:pPr>
      <w:r>
        <w:rPr>
          <w:rFonts w:ascii="Arial" w:cs="Arial" w:eastAsia="Arial" w:hAnsi="Arial"/>
          <w:b/>
          <w:bCs/>
          <w:sz w:val="22"/>
          <w:szCs w:val="22"/>
        </w:rPr>
        <w:t xml:space="preserve">Hazard Index N=603 Bug: </w:t>
      </w:r>
      <w:r>
        <w:rPr>
          <w:rFonts w:ascii="Arial" w:cs="Arial" w:eastAsia="Arial" w:hAnsi="Arial"/>
          <w:sz w:val="22"/>
          <w:szCs w:val="22"/>
        </w:rPr>
        <w:t xml:space="preserve">Two early HI output CSVs contained an incorrect system count of 603 (the correct count is approximately 756 HI-exceeding systems). These files, marked "_BUGGY_DO_NOT_USE," have been excluded. All manuscript HI statistics are derived from corrected outputs.</w:t>
      </w:r>
    </w:p>
    <w:p>
      <w:pPr>
        <w:pStyle w:val="Heading2"/>
        <w:spacing w:after="120" w:before="240"/>
      </w:pPr>
      <w:r>
        <w:rPr>
          <w:rFonts w:ascii="Arial" w:cs="Arial" w:eastAsia="Arial" w:hAnsi="Arial"/>
        </w:rPr>
        <w:t xml:space="preserve">4.3 Merged Dataset Schema</w:t>
      </w:r>
    </w:p>
    <w:p>
      <w:pPr>
        <w:spacing w:after="120" w:line="276"/>
      </w:pPr>
      <w:r>
        <w:rPr>
          <w:rFonts w:ascii="Arial" w:cs="Arial" w:eastAsia="Arial" w:hAnsi="Arial"/>
          <w:b/>
          <w:bCs/>
          <w:sz w:val="22"/>
          <w:szCs w:val="22"/>
        </w:rPr>
        <w:t xml:space="preserve">Output: </w:t>
      </w:r>
      <w:r>
        <w:rPr>
          <w:rFonts w:ascii="Arial" w:cs="Arial" w:eastAsia="Arial" w:hAnsi="Arial"/>
          <w:sz w:val="22"/>
          <w:szCs w:val="22"/>
        </w:rPr>
        <w:t xml:space="preserve">02_Data/02_Output/merged_pws_dataset_jan2026.csv (10,297 records)</w:t>
      </w:r>
    </w:p>
    <w:p>
      <w:pPr>
        <w:spacing w:after="120" w:before="0" w:line="276"/>
      </w:pPr>
      <w:r>
        <w:rPr>
          <w:rFonts w:ascii="Arial" w:cs="Arial" w:eastAsia="Arial" w:hAnsi="Arial"/>
          <w:sz w:val="22"/>
          <w:szCs w:val="22"/>
        </w:rPr>
        <w:t xml:space="preserve">The merged dataset contains one row per PWS with the following column groups: system identifiers (PWSID, PWSName, state, ZIPCode), system characteristics (population_served_count, source_water, owner_type, system_size), 29 binary detection flags ({compound}_detected), 29 maximum concentration values ({compound}_max_conc), summary metrics (any_pfas_detected, n_pfas_detected), MCL exceedance flags ({compound}_mcl_exceed, any_mcl_exceedance), Hazard Index values (HI_value, hi_exceed), proximity metrics in km (dist_superfund, dist_spills, dist_federal, dist_industry), demographic variables from ECHO (pct_minority, pct_lowincome, median_income), and treatment data (pfas_treatment, treatment_type). All concentrations are in micrograms per liter (µg/L).</w:t>
      </w:r>
    </w:p>
    <w:p>
      <w:pPr>
        <w:spacing w:after="120" w:before="0" w:line="276"/>
      </w:pPr>
      <w:r>
        <w:rPr>
          <w:rFonts w:ascii="Arial" w:cs="Arial" w:eastAsia="Arial" w:hAnsi="Arial"/>
          <w:sz w:val="22"/>
          <w:szCs w:val="22"/>
        </w:rPr>
        <w:t xml:space="preserve">The total count of 10,297 excludes 2 systems that were monitored only for lithium. Two additional PWSID records are exact duplicates (same system monitored in multiple rounds) and are collapsed to unique systems, yielding 10,296 unique PWS for most analyses. The manuscript uses N=10,296 or N=10,297 depending on the specific analysis and deduplication handling.</w:t>
      </w:r>
    </w:p>
    <w:p>
      <w:r>
        <w:br w:type="page"/>
      </w:r>
    </w:p>
    <w:p>
      <w:pPr>
        <w:pStyle w:val="Heading1"/>
        <w:spacing w:after="120" w:before="360"/>
      </w:pPr>
      <w:r>
        <w:rPr>
          <w:rFonts w:ascii="Arial" w:cs="Arial" w:eastAsia="Arial" w:hAnsi="Arial"/>
        </w:rPr>
        <w:t xml:space="preserve">5. Analysis Pipelines: Script-by-Script Methodology</w:t>
      </w:r>
    </w:p>
    <w:p>
      <w:pPr>
        <w:spacing w:after="120" w:before="0" w:line="276"/>
      </w:pPr>
      <w:r>
        <w:rPr>
          <w:rFonts w:ascii="Arial" w:cs="Arial" w:eastAsia="Arial" w:hAnsi="Arial"/>
          <w:sz w:val="22"/>
          <w:szCs w:val="22"/>
        </w:rPr>
        <w:t xml:space="preserve">The seven analysis scripts in 03_Scripts/01_Analysis/ must be run in numerical order, as later scripts may depend on outputs from earlier ones. Each script reads from the merged dataset and/or raw data files and writes output CSVs to 02_Data/02_Output/.</w:t>
      </w:r>
    </w:p>
    <w:p>
      <w:pPr>
        <w:pStyle w:val="Heading2"/>
        <w:spacing w:after="120" w:before="240"/>
      </w:pPr>
      <w:r>
        <w:rPr>
          <w:rFonts w:ascii="Arial" w:cs="Arial" w:eastAsia="Arial" w:hAnsi="Arial"/>
        </w:rPr>
        <w:t xml:space="preserve">5.1 Script 01: Core Statistics (01_core_statistics.py)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Compute compound-level detection frequencies, system size effects, source water associations, geographic rates, MCL exceedances, Hazard Index analysis, and co-occurrence summary statistics.</w:t>
      </w:r>
    </w:p>
    <w:p>
      <w:pPr>
        <w:pStyle w:val="Heading3"/>
        <w:spacing w:after="120" w:before="240"/>
      </w:pPr>
      <w:r>
        <w:rPr>
          <w:rFonts w:ascii="Arial" w:cs="Arial" w:eastAsia="Arial" w:hAnsi="Arial"/>
        </w:rPr>
        <w:t xml:space="preserve">5.1.1 Detection Rate Computation</w:t>
      </w:r>
    </w:p>
    <w:p>
      <w:pPr>
        <w:spacing w:after="120" w:before="0" w:line="276"/>
      </w:pPr>
      <w:r>
        <w:rPr>
          <w:rFonts w:ascii="Arial" w:cs="Arial" w:eastAsia="Arial" w:hAnsi="Arial"/>
          <w:sz w:val="22"/>
          <w:szCs w:val="22"/>
        </w:rPr>
        <w:t xml:space="preserve">For each of the 29 PFAS analytes, detection rate is computed as the proportion of monitored PWS with at least one sample where AnalyticalResultsSign == "=". Ninety-five percent confidence intervals are computed using the Wilson score method, which is preferred over the Wald (normal approximation) interval for proportions near 0 or 1 because it maintains correct coverage even with small event counts. The Wilson interval is computed via the formula: p̂ + z²/2n ± z√(p̂(1−p̂)/n + z²/4n²) divided by (1 + z²/n), where z = 1.96 for 95% confidence.</w:t>
      </w:r>
    </w:p>
    <w:p>
      <w:pPr>
        <w:spacing w:after="120" w:before="0" w:line="276"/>
      </w:pPr>
      <w:r>
        <w:rPr>
          <w:rFonts w:ascii="Arial" w:cs="Arial" w:eastAsia="Arial" w:hAnsi="Arial"/>
          <w:sz w:val="22"/>
          <w:szCs w:val="22"/>
        </w:rPr>
        <w:t xml:space="preserve">The overall "any PFAS detected" rate (34.4%, 3,539/10,296) represents systems with at least one compound detected at or above the compound-specific MRL. This is a screening-level statistic and does not indicate regulatory noncompliance.</w:t>
      </w:r>
    </w:p>
    <w:p>
      <w:pPr>
        <w:pStyle w:val="Heading3"/>
        <w:spacing w:after="120" w:before="240"/>
      </w:pPr>
      <w:r>
        <w:rPr>
          <w:rFonts w:ascii="Arial" w:cs="Arial" w:eastAsia="Arial" w:hAnsi="Arial"/>
        </w:rPr>
        <w:t xml:space="preserve">5.1.2 System Size Analysis</w:t>
      </w:r>
    </w:p>
    <w:p>
      <w:pPr>
        <w:spacing w:after="120" w:before="0" w:line="276"/>
      </w:pPr>
      <w:r>
        <w:rPr>
          <w:rFonts w:ascii="Arial" w:cs="Arial" w:eastAsia="Arial" w:hAnsi="Arial"/>
          <w:sz w:val="22"/>
          <w:szCs w:val="22"/>
        </w:rPr>
        <w:t xml:space="preserve">Systems are categorized by EPA size classification: Very Small (3,300–10,000 served), Small (10,001–50,000), Medium (50,001–100,000), Large (100,001–1,000,000), and Very Large (&gt;1,000,000). Detection rates are computed within each category with Wilson CIs. The odds ratio for detection in the largest systems versus the smallest is computed with a 95% CI to quantify the system size effect. The rationale for this analysis is that larger systems tend to serve more diverse source waters and may have more sampling points, increasing detection probability.</w:t>
      </w:r>
    </w:p>
    <w:p>
      <w:pPr>
        <w:pStyle w:val="Heading3"/>
        <w:spacing w:after="120" w:before="240"/>
      </w:pPr>
      <w:r>
        <w:rPr>
          <w:rFonts w:ascii="Arial" w:cs="Arial" w:eastAsia="Arial" w:hAnsi="Arial"/>
        </w:rPr>
        <w:t xml:space="preserve">5.1.3 Source Water Analysis</w:t>
      </w:r>
    </w:p>
    <w:p>
      <w:pPr>
        <w:spacing w:after="120" w:before="0" w:line="276"/>
      </w:pPr>
      <w:r>
        <w:rPr>
          <w:rFonts w:ascii="Arial" w:cs="Arial" w:eastAsia="Arial" w:hAnsi="Arial"/>
          <w:sz w:val="22"/>
          <w:szCs w:val="22"/>
        </w:rPr>
        <w:t xml:space="preserve">Systems are classified by primary source water type from SDWIS: GW (groundwater), SW (surface water), GU (groundwater under direct influence of surface water), and GWP (purchased groundwater). Detection rates with Wilson CIs are computed for each source type. The association between source water and detection is tested using Pearson chi-square with Cramér's V as the effect size measure. Bootstrap confidence intervals for Cramér's V (n=1,000 resamples) are computed to assess uncertainty in the effect size.</w:t>
      </w:r>
    </w:p>
    <w:p>
      <w:pPr>
        <w:pStyle w:val="Heading3"/>
        <w:spacing w:after="120" w:before="240"/>
      </w:pPr>
      <w:r>
        <w:rPr>
          <w:rFonts w:ascii="Arial" w:cs="Arial" w:eastAsia="Arial" w:hAnsi="Arial"/>
        </w:rPr>
        <w:t xml:space="preserve">5.1.4 Geographic Analysis</w:t>
      </w:r>
    </w:p>
    <w:p>
      <w:pPr>
        <w:spacing w:after="120" w:before="0" w:line="276"/>
      </w:pPr>
      <w:r>
        <w:rPr>
          <w:rFonts w:ascii="Arial" w:cs="Arial" w:eastAsia="Arial" w:hAnsi="Arial"/>
          <w:sz w:val="22"/>
          <w:szCs w:val="22"/>
        </w:rPr>
        <w:t xml:space="preserve">State-level detection rates are computed for all states with at least 10 monitored systems. Each state's detection rate is compared to the national average using a two-proportion Z-test. Because 41 simultaneous comparisons are performed (one per qualifying state), p-values are adjusted using the Benjamini-Hochberg False Discovery Rate (FDR) correction to control the expected proportion of false positives at 5%. States are classified as significantly above or below the national average based on the FDR-adjusted p-value &lt; 0.05.</w:t>
      </w:r>
    </w:p>
    <w:p>
      <w:pPr>
        <w:spacing w:after="120" w:line="276"/>
      </w:pPr>
      <w:r>
        <w:rPr>
          <w:rFonts w:ascii="Arial" w:cs="Arial" w:eastAsia="Arial" w:hAnsi="Arial"/>
          <w:b/>
          <w:bCs/>
          <w:i/>
          <w:iCs/>
          <w:sz w:val="22"/>
          <w:szCs w:val="22"/>
        </w:rPr>
        <w:t xml:space="preserve">Rationale for Benjamini-Hochberg over Bonferroni: </w:t>
      </w:r>
      <w:r>
        <w:rPr>
          <w:rFonts w:ascii="Arial" w:cs="Arial" w:eastAsia="Arial" w:hAnsi="Arial"/>
          <w:sz w:val="22"/>
          <w:szCs w:val="22"/>
        </w:rPr>
        <w:t xml:space="preserve">The BH procedure controls the false discovery rate rather than the family-wise error rate, making it more appropriate for exploratory geographic comparisons where some false positives are acceptable and excessive conservatism (Bonferroni) would reduce statistical power to identify genuinely elevated states.</w:t>
      </w:r>
    </w:p>
    <w:p>
      <w:pPr>
        <w:pStyle w:val="Heading3"/>
        <w:spacing w:after="120" w:before="240"/>
      </w:pPr>
      <w:r>
        <w:rPr>
          <w:rFonts w:ascii="Arial" w:cs="Arial" w:eastAsia="Arial" w:hAnsi="Arial"/>
        </w:rPr>
        <w:t xml:space="preserve">5.1.5 MCL Exceedance Analysis</w:t>
      </w:r>
    </w:p>
    <w:p>
      <w:pPr>
        <w:spacing w:after="120" w:before="0" w:line="276"/>
      </w:pPr>
      <w:r>
        <w:rPr>
          <w:rFonts w:ascii="Arial" w:cs="Arial" w:eastAsia="Arial" w:hAnsi="Arial"/>
          <w:sz w:val="22"/>
          <w:szCs w:val="22"/>
        </w:rPr>
        <w:t xml:space="preserve">Screening-level MCL exceedances are defined as any single sample exceeding the individual MCL threshold. This is explicitly distinguished from compliance determinations, which would require computing running annual averages (RAA) across four consecutive quarterly samples. The paper emphasizes this critical distinction throughout: a screening exceedance indicates that at least one sample exceeded the MCL, not that the system is in regulatory noncompliance. This distinction is essential because EPA compliance determinations use the running annual average of quarterly samples, not individual results.</w:t>
      </w:r>
    </w:p>
    <w:p>
      <w:pPr>
        <w:pStyle w:val="Heading3"/>
        <w:spacing w:after="120" w:before="240"/>
      </w:pPr>
      <w:r>
        <w:rPr>
          <w:rFonts w:ascii="Arial" w:cs="Arial" w:eastAsia="Arial" w:hAnsi="Arial"/>
        </w:rPr>
        <w:t xml:space="preserve">5.1.6 Hazard Index Analysis</w:t>
      </w:r>
    </w:p>
    <w:p>
      <w:pPr>
        <w:spacing w:after="120" w:before="0" w:line="276"/>
      </w:pPr>
      <w:r>
        <w:rPr>
          <w:rFonts w:ascii="Arial" w:cs="Arial" w:eastAsia="Arial" w:hAnsi="Arial"/>
          <w:sz w:val="22"/>
          <w:szCs w:val="22"/>
        </w:rPr>
        <w:t xml:space="preserve">The Hazard Index is computed as HI = Σ(Cᵢ / HBWCᵢ) for four mixture components: PFHxS, PFNA, HFPO-DA (each with HBWC = 10 ng/L), and PFBS (HBWC = 2,000 ng/L). An HI exceedance requires both HI &gt; 1.0 AND detection of at least two HI-component compounds. The two-compound minimum is a regulatory requirement in the NPDWR to ensure the mixture-based standard is only applied when genuine co-exposure exists.</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core_statistics_enhanced.csv — Compound-level detection rates with Wilson CIs</w:t>
      </w:r>
    </w:p>
    <w:p>
      <w:pPr>
        <w:pStyle w:val="ListParagraph"/>
        <w:numPr>
          <w:ilvl w:val="0"/>
          <w:numId w:val="3"/>
        </w:numPr>
        <w:spacing w:after="40" w:line="260"/>
      </w:pPr>
      <w:r>
        <w:rPr>
          <w:rFonts w:ascii="Arial" w:cs="Arial" w:eastAsia="Arial" w:hAnsi="Arial"/>
          <w:sz w:val="22"/>
          <w:szCs w:val="22"/>
        </w:rPr>
        <w:t xml:space="preserve">core_statistics_geographic_CORRECTED.csv — State-level rates with Z-test p-values</w:t>
      </w:r>
    </w:p>
    <w:p>
      <w:pPr>
        <w:pStyle w:val="ListParagraph"/>
        <w:numPr>
          <w:ilvl w:val="0"/>
          <w:numId w:val="3"/>
        </w:numPr>
        <w:spacing w:after="40" w:line="260"/>
      </w:pPr>
      <w:r>
        <w:rPr>
          <w:rFonts w:ascii="Arial" w:cs="Arial" w:eastAsia="Arial" w:hAnsi="Arial"/>
          <w:sz w:val="22"/>
          <w:szCs w:val="22"/>
        </w:rPr>
        <w:t xml:space="preserve">core_statistics_mcl_enhanced.csv — MCL exceedance rates by compound</w:t>
      </w:r>
    </w:p>
    <w:p>
      <w:pPr>
        <w:pStyle w:val="ListParagraph"/>
        <w:numPr>
          <w:ilvl w:val="0"/>
          <w:numId w:val="3"/>
        </w:numPr>
        <w:spacing w:after="40" w:line="260"/>
      </w:pPr>
      <w:r>
        <w:rPr>
          <w:rFonts w:ascii="Arial" w:cs="Arial" w:eastAsia="Arial" w:hAnsi="Arial"/>
          <w:sz w:val="22"/>
          <w:szCs w:val="22"/>
        </w:rPr>
        <w:t xml:space="preserve">core_statistics_hi_enhanced.csv — HI analysis results</w:t>
      </w:r>
    </w:p>
    <w:p>
      <w:pPr>
        <w:pStyle w:val="ListParagraph"/>
        <w:numPr>
          <w:ilvl w:val="0"/>
          <w:numId w:val="3"/>
        </w:numPr>
        <w:spacing w:after="40" w:line="260"/>
      </w:pPr>
      <w:r>
        <w:rPr>
          <w:rFonts w:ascii="Arial" w:cs="Arial" w:eastAsia="Arial" w:hAnsi="Arial"/>
          <w:sz w:val="22"/>
          <w:szCs w:val="22"/>
        </w:rPr>
        <w:t xml:space="preserve">core_statistics_system_size_enhanced.csv — Size-stratified detection rates</w:t>
      </w:r>
    </w:p>
    <w:p>
      <w:pPr>
        <w:pStyle w:val="ListParagraph"/>
        <w:numPr>
          <w:ilvl w:val="0"/>
          <w:numId w:val="3"/>
        </w:numPr>
        <w:spacing w:after="120" w:line="260"/>
      </w:pPr>
      <w:r>
        <w:rPr>
          <w:rFonts w:ascii="Arial" w:cs="Arial" w:eastAsia="Arial" w:hAnsi="Arial"/>
          <w:sz w:val="22"/>
          <w:szCs w:val="22"/>
        </w:rPr>
        <w:t xml:space="preserve">core_statistics_cramers_v_bootstrap.csv — Effect sizes with bootstrap CIs</w:t>
      </w:r>
    </w:p>
    <w:p>
      <w:r>
        <w:br w:type="page"/>
      </w:r>
    </w:p>
    <w:p>
      <w:pPr>
        <w:pStyle w:val="Heading2"/>
        <w:spacing w:after="120" w:before="240"/>
      </w:pPr>
      <w:r>
        <w:rPr>
          <w:rFonts w:ascii="Arial" w:cs="Arial" w:eastAsia="Arial" w:hAnsi="Arial"/>
        </w:rPr>
        <w:t xml:space="preserve">5.2 Script 02: Temporal Analysis (02_temporal_analysis.py)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Analyze temporal trends in PFAS detection across the UCMR 5 monitoring period, assess cohort effects, and evaluate seasonal variation.</w:t>
      </w:r>
    </w:p>
    <w:p>
      <w:pPr>
        <w:pStyle w:val="Heading3"/>
        <w:spacing w:after="120" w:before="240"/>
      </w:pPr>
      <w:r>
        <w:rPr>
          <w:rFonts w:ascii="Arial" w:cs="Arial" w:eastAsia="Arial" w:hAnsi="Arial"/>
        </w:rPr>
        <w:t xml:space="preserve">5.2.1 Quarterly Detection Rates</w:t>
      </w:r>
    </w:p>
    <w:p>
      <w:pPr>
        <w:spacing w:after="120" w:before="0" w:line="276"/>
      </w:pPr>
      <w:r>
        <w:rPr>
          <w:rFonts w:ascii="Arial" w:cs="Arial" w:eastAsia="Arial" w:hAnsi="Arial"/>
          <w:sz w:val="22"/>
          <w:szCs w:val="22"/>
        </w:rPr>
        <w:t xml:space="preserve">Detection rates are computed for each calendar quarter (Q1 2023 through Q4 2025) across all systems reporting results in that quarter. Wilson score 95% CIs are applied to each quarterly rate. This time series provides the basis for trend assessment.</w:t>
      </w:r>
    </w:p>
    <w:p>
      <w:pPr>
        <w:pStyle w:val="Heading3"/>
        <w:spacing w:after="120" w:before="240"/>
      </w:pPr>
      <w:r>
        <w:rPr>
          <w:rFonts w:ascii="Arial" w:cs="Arial" w:eastAsia="Arial" w:hAnsi="Arial"/>
        </w:rPr>
        <w:t xml:space="preserve">5.2.2 Mann-Kendall Trend Test</w:t>
      </w:r>
    </w:p>
    <w:p>
      <w:pPr>
        <w:spacing w:after="120" w:before="0" w:line="276"/>
      </w:pPr>
      <w:r>
        <w:rPr>
          <w:rFonts w:ascii="Arial" w:cs="Arial" w:eastAsia="Arial" w:hAnsi="Arial"/>
          <w:sz w:val="22"/>
          <w:szCs w:val="22"/>
        </w:rPr>
        <w:t xml:space="preserve">The Mann-Kendall test is a non-parametric test for monotonic trends in time series data. It is preferred over parametric alternatives (e.g., linear regression slope test) because it does not assume normality of residuals, is robust to outliers, and is appropriate for the short time series available (n=12 quarterly observations). The test statistic τ (tau) ranges from −1 to +1, with negative values indicating declining trends.</w:t>
      </w:r>
    </w:p>
    <w:p>
      <w:pPr>
        <w:spacing w:after="120" w:line="276"/>
      </w:pPr>
      <w:r>
        <w:rPr>
          <w:rFonts w:ascii="Arial" w:cs="Arial" w:eastAsia="Arial" w:hAnsi="Arial"/>
          <w:b/>
          <w:bCs/>
          <w:sz w:val="22"/>
          <w:szCs w:val="22"/>
        </w:rPr>
        <w:t xml:space="preserve">Implementation: </w:t>
      </w:r>
      <w:r>
        <w:rPr>
          <w:rFonts w:ascii="Arial" w:cs="Arial" w:eastAsia="Arial" w:hAnsi="Arial"/>
          <w:sz w:val="22"/>
          <w:szCs w:val="22"/>
        </w:rPr>
        <w:t xml:space="preserve">The pymannkendall library (original_test function) is used instead of a custom implementation. This library correctly handles ties in the data, which the manuscript's Version 1.0 custom implementation did not. The correction was part of the Version 2.0 methodology update.</w:t>
      </w:r>
    </w:p>
    <w:p>
      <w:pPr>
        <w:spacing w:after="120" w:line="276"/>
      </w:pPr>
      <w:r>
        <w:rPr>
          <w:rFonts w:ascii="Arial" w:cs="Arial" w:eastAsia="Arial" w:hAnsi="Arial"/>
          <w:b/>
          <w:bCs/>
          <w:i/>
          <w:iCs/>
          <w:sz w:val="22"/>
          <w:szCs w:val="22"/>
        </w:rPr>
        <w:t xml:space="preserve">Limitation: </w:t>
      </w:r>
      <w:r>
        <w:rPr>
          <w:rFonts w:ascii="Arial" w:cs="Arial" w:eastAsia="Arial" w:hAnsi="Arial"/>
          <w:sz w:val="22"/>
          <w:szCs w:val="22"/>
        </w:rPr>
        <w:t xml:space="preserve">With only n=12 observations, the Mann-Kendall test has very limited statistical power. As noted in the manuscript, the temporal analysis is most informative at the cohort level (Cochran-Armitage test) rather than the quarterly time series level.</w:t>
      </w:r>
    </w:p>
    <w:p>
      <w:pPr>
        <w:pStyle w:val="Heading3"/>
        <w:spacing w:after="120" w:before="240"/>
      </w:pPr>
      <w:r>
        <w:rPr>
          <w:rFonts w:ascii="Arial" w:cs="Arial" w:eastAsia="Arial" w:hAnsi="Arial"/>
        </w:rPr>
        <w:t xml:space="preserve">5.2.3 Cochran-Armitage Trend Test</w:t>
      </w:r>
    </w:p>
    <w:p>
      <w:pPr>
        <w:spacing w:after="120" w:before="0" w:line="276"/>
      </w:pPr>
      <w:r>
        <w:rPr>
          <w:rFonts w:ascii="Arial" w:cs="Arial" w:eastAsia="Arial" w:hAnsi="Arial"/>
          <w:sz w:val="22"/>
          <w:szCs w:val="22"/>
        </w:rPr>
        <w:t xml:space="preserve">This test evaluates whether detection rates show a monotonic trend across ordered cohorts (systems grouped by their monitoring start quarter). Unlike Mann-Kendall which tests the quarterly aggregate time series, Cochran-Armitage tests whether later-entering cohorts have systematically different detection rates from earlier-entering cohorts. This is implemented using scipy's chi-square contingency test framework with ordered scores assigned to each cohort.</w:t>
      </w:r>
    </w:p>
    <w:p>
      <w:pPr>
        <w:spacing w:after="120" w:line="276"/>
      </w:pPr>
      <w:r>
        <w:rPr>
          <w:rFonts w:ascii="Arial" w:cs="Arial" w:eastAsia="Arial" w:hAnsi="Arial"/>
          <w:b/>
          <w:bCs/>
          <w:i/>
          <w:iCs/>
          <w:sz w:val="22"/>
          <w:szCs w:val="22"/>
        </w:rPr>
        <w:t xml:space="preserve">Rationale: </w:t>
      </w:r>
      <w:r>
        <w:rPr>
          <w:rFonts w:ascii="Arial" w:cs="Arial" w:eastAsia="Arial" w:hAnsi="Arial"/>
          <w:sz w:val="22"/>
          <w:szCs w:val="22"/>
        </w:rPr>
        <w:t xml:space="preserve">This replaced a simpler Pearson correlation proxy used in Version 1.0, which was not appropriate for testing trends in proportions across ordered groups.</w:t>
      </w:r>
    </w:p>
    <w:p>
      <w:pPr>
        <w:pStyle w:val="Heading3"/>
        <w:spacing w:after="120" w:before="240"/>
      </w:pPr>
      <w:r>
        <w:rPr>
          <w:rFonts w:ascii="Arial" w:cs="Arial" w:eastAsia="Arial" w:hAnsi="Arial"/>
        </w:rPr>
        <w:t xml:space="preserve">5.2.4 Pre/Post NPDWR Comparison</w:t>
      </w:r>
    </w:p>
    <w:p>
      <w:pPr>
        <w:spacing w:after="120" w:before="0" w:line="276"/>
      </w:pPr>
      <w:r>
        <w:rPr>
          <w:rFonts w:ascii="Arial" w:cs="Arial" w:eastAsia="Arial" w:hAnsi="Arial"/>
          <w:sz w:val="22"/>
          <w:szCs w:val="22"/>
        </w:rPr>
        <w:t xml:space="preserve">Detection rates are compared between samples collected before and after the NPDWR final rule publication date (April 10, 2024, operationalized as January 23, 2024 cutoff in the code to capture the compliance anticipation period). This comparison tests whether awareness of impending regulation affected monitoring outcomes — for instance, whether systems with known contamination accelerated treatment installation.</w:t>
      </w:r>
    </w:p>
    <w:p>
      <w:pPr>
        <w:pStyle w:val="Heading3"/>
        <w:spacing w:after="120" w:before="240"/>
      </w:pPr>
      <w:r>
        <w:rPr>
          <w:rFonts w:ascii="Arial" w:cs="Arial" w:eastAsia="Arial" w:hAnsi="Arial"/>
        </w:rPr>
        <w:t xml:space="preserve">5.2.5 Seasonal Analysis</w:t>
      </w:r>
    </w:p>
    <w:p>
      <w:pPr>
        <w:spacing w:after="120" w:before="0" w:line="276"/>
      </w:pPr>
      <w:r>
        <w:rPr>
          <w:rFonts w:ascii="Arial" w:cs="Arial" w:eastAsia="Arial" w:hAnsi="Arial"/>
          <w:sz w:val="22"/>
          <w:szCs w:val="22"/>
        </w:rPr>
        <w:t xml:space="preserve">Seasons are defined as: Winter (December, January, February), Spring (March, April, May), Summer (June, July, August), and Fall (September, October, November). Detection rates by season are compared using the Kruskal-Wallis H test (non-parametric analogue of one-way ANOVA), with Dunn's post-hoc pairwise comparisons using Bonferroni correction for multiple comparisons.</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temporal_quarterly_rates_enhanced.csv — Quarterly detection rates with CIs</w:t>
      </w:r>
    </w:p>
    <w:p>
      <w:pPr>
        <w:pStyle w:val="ListParagraph"/>
        <w:numPr>
          <w:ilvl w:val="0"/>
          <w:numId w:val="3"/>
        </w:numPr>
        <w:spacing w:after="40" w:line="260"/>
      </w:pPr>
      <w:r>
        <w:rPr>
          <w:rFonts w:ascii="Arial" w:cs="Arial" w:eastAsia="Arial" w:hAnsi="Arial"/>
          <w:sz w:val="22"/>
          <w:szCs w:val="22"/>
        </w:rPr>
        <w:t xml:space="preserve">temporal_mannkendall_enhanced.csv — Mann-Kendall test results per compound</w:t>
      </w:r>
    </w:p>
    <w:p>
      <w:pPr>
        <w:pStyle w:val="ListParagraph"/>
        <w:numPr>
          <w:ilvl w:val="0"/>
          <w:numId w:val="3"/>
        </w:numPr>
        <w:spacing w:after="40" w:line="260"/>
      </w:pPr>
      <w:r>
        <w:rPr>
          <w:rFonts w:ascii="Arial" w:cs="Arial" w:eastAsia="Arial" w:hAnsi="Arial"/>
          <w:sz w:val="22"/>
          <w:szCs w:val="22"/>
        </w:rPr>
        <w:t xml:space="preserve">temporal_cochran_armitage_enhanced.csv — Cochran-Armitage trend test results</w:t>
      </w:r>
    </w:p>
    <w:p>
      <w:pPr>
        <w:pStyle w:val="ListParagraph"/>
        <w:numPr>
          <w:ilvl w:val="0"/>
          <w:numId w:val="3"/>
        </w:numPr>
        <w:spacing w:after="40" w:line="260"/>
      </w:pPr>
      <w:r>
        <w:rPr>
          <w:rFonts w:ascii="Arial" w:cs="Arial" w:eastAsia="Arial" w:hAnsi="Arial"/>
          <w:sz w:val="22"/>
          <w:szCs w:val="22"/>
        </w:rPr>
        <w:t xml:space="preserve">temporal_pre_post_npdwr_enhanced.csv — Pre/post regulation comparison</w:t>
      </w:r>
    </w:p>
    <w:p>
      <w:pPr>
        <w:pStyle w:val="ListParagraph"/>
        <w:numPr>
          <w:ilvl w:val="0"/>
          <w:numId w:val="3"/>
        </w:numPr>
        <w:spacing w:after="120" w:line="260"/>
      </w:pPr>
      <w:r>
        <w:rPr>
          <w:rFonts w:ascii="Arial" w:cs="Arial" w:eastAsia="Arial" w:hAnsi="Arial"/>
          <w:sz w:val="22"/>
          <w:szCs w:val="22"/>
        </w:rPr>
        <w:t xml:space="preserve">temporal_seasonal_kruskal_wallis.csv — Seasonal variation test results</w:t>
      </w:r>
    </w:p>
    <w:p>
      <w:r>
        <w:br w:type="page"/>
      </w:r>
    </w:p>
    <w:p>
      <w:pPr>
        <w:pStyle w:val="Heading2"/>
        <w:spacing w:after="120" w:before="240"/>
      </w:pPr>
      <w:r>
        <w:rPr>
          <w:rFonts w:ascii="Arial" w:cs="Arial" w:eastAsia="Arial" w:hAnsi="Arial"/>
        </w:rPr>
        <w:t xml:space="preserve">5.3 Script 03: Co-occurrence and MCA (03_cooccurrence_mca.py)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Analyze PFAS co-detection patterns, identify chemical fingerprints, and characterize the dimensionality of the co-occurrence structure using Multiple Correspondence Analysis.</w:t>
      </w:r>
    </w:p>
    <w:p>
      <w:pPr>
        <w:pStyle w:val="Heading3"/>
        <w:spacing w:after="120" w:before="240"/>
      </w:pPr>
      <w:r>
        <w:rPr>
          <w:rFonts w:ascii="Arial" w:cs="Arial" w:eastAsia="Arial" w:hAnsi="Arial"/>
        </w:rPr>
        <w:t xml:space="preserve">5.3.1 Co-occurrence Matrix Construction</w:t>
      </w:r>
    </w:p>
    <w:p>
      <w:pPr>
        <w:spacing w:after="120" w:before="0" w:line="276"/>
      </w:pPr>
      <w:r>
        <w:rPr>
          <w:rFonts w:ascii="Arial" w:cs="Arial" w:eastAsia="Arial" w:hAnsi="Arial"/>
          <w:sz w:val="22"/>
          <w:szCs w:val="22"/>
        </w:rPr>
        <w:t xml:space="preserve">A binary detection matrix is constructed with rows = PWS systems and columns = 29 PFAS compounds, where 1 indicates detection at or above MRL and 0 indicates non-detect. From this, a pairwise co-occurrence matrix is computed showing the number and proportion of systems where each pair of compounds co-occurs.</w:t>
      </w:r>
    </w:p>
    <w:p>
      <w:pPr>
        <w:pStyle w:val="Heading3"/>
        <w:spacing w:after="120" w:before="240"/>
      </w:pPr>
      <w:r>
        <w:rPr>
          <w:rFonts w:ascii="Arial" w:cs="Arial" w:eastAsia="Arial" w:hAnsi="Arial"/>
        </w:rPr>
        <w:t xml:space="preserve">5.3.2 Multiple Correspondence Analysis (MCA)</w:t>
      </w:r>
    </w:p>
    <w:p>
      <w:pPr>
        <w:spacing w:after="120" w:before="0" w:line="276"/>
      </w:pPr>
      <w:r>
        <w:rPr>
          <w:rFonts w:ascii="Arial" w:cs="Arial" w:eastAsia="Arial" w:hAnsi="Arial"/>
          <w:sz w:val="22"/>
          <w:szCs w:val="22"/>
        </w:rPr>
        <w:t xml:space="preserve">MCA is the appropriate dimensionality reduction technique for categorical/binary data. It was chosen over Principal Component Analysis (PCA) because PCA assumes continuous, normally distributed variables — assumptions violated by binary detection flags. MCA, by contrast, operates on indicator (dummy) matrices derived from categorical variables, making it the mathematically correct choice for binary detection data.</w:t>
      </w:r>
    </w:p>
    <w:p>
      <w:pPr>
        <w:spacing w:after="120" w:line="276"/>
      </w:pPr>
      <w:r>
        <w:rPr>
          <w:rFonts w:ascii="Arial" w:cs="Arial" w:eastAsia="Arial" w:hAnsi="Arial"/>
          <w:b/>
          <w:bCs/>
          <w:sz w:val="22"/>
          <w:szCs w:val="22"/>
        </w:rPr>
        <w:t xml:space="preserve">Implementation: </w:t>
      </w:r>
      <w:r>
        <w:rPr>
          <w:rFonts w:ascii="Arial" w:cs="Arial" w:eastAsia="Arial" w:hAnsi="Arial"/>
          <w:sz w:val="22"/>
          <w:szCs w:val="22"/>
        </w:rPr>
        <w:t xml:space="preserve">The prince Python library is used (prince.MCA with n_components=10, random_state=42). The analysis extracts dimension loadings (column coordinates) for each compound, eigenvalues/inertia for each dimension, and row coordinates (system scores) for visualization.</w:t>
      </w:r>
    </w:p>
    <w:p>
      <w:pPr>
        <w:spacing w:after="120" w:line="276"/>
      </w:pPr>
      <w:r>
        <w:rPr>
          <w:rFonts w:ascii="Arial" w:cs="Arial" w:eastAsia="Arial" w:hAnsi="Arial"/>
          <w:b/>
          <w:bCs/>
          <w:sz w:val="22"/>
          <w:szCs w:val="22"/>
        </w:rPr>
        <w:t xml:space="preserve">Version History: </w:t>
      </w:r>
      <w:r>
        <w:rPr>
          <w:rFonts w:ascii="Arial" w:cs="Arial" w:eastAsia="Arial" w:hAnsi="Arial"/>
          <w:sz w:val="22"/>
          <w:szCs w:val="22"/>
        </w:rPr>
        <w:t xml:space="preserve">Version 1.0 of the manuscript used PCA, which was replaced with MCA in Version 2.0. All PCA terminology in the manuscript, SI, and output files was updated accordingly. Note that SI Table S9 column headers should be labeled "Dim 1, Dim 2, Dim 3" (not "PC1, PC2, PC3"), per the critical review.</w:t>
      </w:r>
    </w:p>
    <w:p>
      <w:pPr>
        <w:spacing w:after="120" w:before="0" w:line="276"/>
      </w:pPr>
      <w:r>
        <w:rPr>
          <w:rFonts w:ascii="Arial" w:cs="Arial" w:eastAsia="Arial" w:hAnsi="Arial"/>
          <w:sz w:val="22"/>
          <w:szCs w:val="22"/>
        </w:rPr>
        <w:t xml:space="preserve">Bootstrap confidence intervals for MCA loadings are computed using 1,000 resampled datasets. For each bootstrap replicate, the binary detection matrix is resampled with replacement at the system level, MCA is recomputed, and loadings are recorded. The 2.5th and 97.5th percentiles across replicates provide 95% CIs for each compound's position on each dimension.</w:t>
      </w:r>
    </w:p>
    <w:p>
      <w:pPr>
        <w:pStyle w:val="Heading3"/>
        <w:spacing w:after="120" w:before="240"/>
      </w:pPr>
      <w:r>
        <w:rPr>
          <w:rFonts w:ascii="Arial" w:cs="Arial" w:eastAsia="Arial" w:hAnsi="Arial"/>
        </w:rPr>
        <w:t xml:space="preserve">5.3.3 Cluster Verification</w:t>
      </w:r>
    </w:p>
    <w:p>
      <w:pPr>
        <w:spacing w:after="120" w:before="0" w:line="276"/>
      </w:pPr>
      <w:r>
        <w:rPr>
          <w:rFonts w:ascii="Arial" w:cs="Arial" w:eastAsia="Arial" w:hAnsi="Arial"/>
          <w:sz w:val="22"/>
          <w:szCs w:val="22"/>
        </w:rPr>
        <w:t xml:space="preserve">Four clusters are identified in the MCA space (k=4) to validate chemical fingerprint groupings. These correspond to distinct contamination profiles: PFOS/PFOA-dominated (legacy AFFF), short-chain dominated (industrial), mixed long-chain, and low-level multi-compound. The cluster structure aids interpretation of the co-occurrence MCA biplot (Figure 4 / Figure S4).</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cooccurrence_matrix.csv — Pairwise co-detection matrix</w:t>
      </w:r>
    </w:p>
    <w:p>
      <w:pPr>
        <w:pStyle w:val="ListParagraph"/>
        <w:numPr>
          <w:ilvl w:val="0"/>
          <w:numId w:val="3"/>
        </w:numPr>
        <w:spacing w:after="40" w:line="260"/>
      </w:pPr>
      <w:r>
        <w:rPr>
          <w:rFonts w:ascii="Arial" w:cs="Arial" w:eastAsia="Arial" w:hAnsi="Arial"/>
          <w:sz w:val="22"/>
          <w:szCs w:val="22"/>
        </w:rPr>
        <w:t xml:space="preserve">mca_column_coordinates.csv — Compound loadings on MCA dimensions</w:t>
      </w:r>
    </w:p>
    <w:p>
      <w:pPr>
        <w:pStyle w:val="ListParagraph"/>
        <w:numPr>
          <w:ilvl w:val="0"/>
          <w:numId w:val="3"/>
        </w:numPr>
        <w:spacing w:after="40" w:line="260"/>
      </w:pPr>
      <w:r>
        <w:rPr>
          <w:rFonts w:ascii="Arial" w:cs="Arial" w:eastAsia="Arial" w:hAnsi="Arial"/>
          <w:sz w:val="22"/>
          <w:szCs w:val="22"/>
        </w:rPr>
        <w:t xml:space="preserve">mca_eigenvalues_inertia.csv — Explained inertia per dimension</w:t>
      </w:r>
    </w:p>
    <w:p>
      <w:pPr>
        <w:pStyle w:val="ListParagraph"/>
        <w:numPr>
          <w:ilvl w:val="0"/>
          <w:numId w:val="3"/>
        </w:numPr>
        <w:spacing w:after="40" w:line="260"/>
      </w:pPr>
      <w:r>
        <w:rPr>
          <w:rFonts w:ascii="Arial" w:cs="Arial" w:eastAsia="Arial" w:hAnsi="Arial"/>
          <w:sz w:val="22"/>
          <w:szCs w:val="22"/>
        </w:rPr>
        <w:t xml:space="preserve">mca_bootstrap_ci.csv — Bootstrap 95% CIs for loadings</w:t>
      </w:r>
    </w:p>
    <w:p>
      <w:pPr>
        <w:pStyle w:val="ListParagraph"/>
        <w:numPr>
          <w:ilvl w:val="0"/>
          <w:numId w:val="3"/>
        </w:numPr>
        <w:spacing w:after="120" w:line="260"/>
      </w:pPr>
      <w:r>
        <w:rPr>
          <w:rFonts w:ascii="Arial" w:cs="Arial" w:eastAsia="Arial" w:hAnsi="Arial"/>
          <w:sz w:val="22"/>
          <w:szCs w:val="22"/>
        </w:rPr>
        <w:t xml:space="preserve">cooccurrence_cluster_structure.csv — Cluster assignments</w:t>
      </w:r>
    </w:p>
    <w:p>
      <w:r>
        <w:br w:type="page"/>
      </w:r>
    </w:p>
    <w:p>
      <w:pPr>
        <w:pStyle w:val="Heading2"/>
        <w:spacing w:after="120" w:before="240"/>
      </w:pPr>
      <w:r>
        <w:rPr>
          <w:rFonts w:ascii="Arial" w:cs="Arial" w:eastAsia="Arial" w:hAnsi="Arial"/>
        </w:rPr>
        <w:t xml:space="preserve">5.4 Script 04: UCMR 3 vs. UCMR 5 Comparison (04_ucmr3_comparison.py)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Compare PFAS detection rates between UCMR 3 (2013–2015) and UCMR 5 (2023–2025) in matched water systems to assess temporal changes in contamination.</w:t>
      </w:r>
    </w:p>
    <w:p>
      <w:pPr>
        <w:pStyle w:val="Heading3"/>
        <w:spacing w:after="120" w:before="240"/>
      </w:pPr>
      <w:r>
        <w:rPr>
          <w:rFonts w:ascii="Arial" w:cs="Arial" w:eastAsia="Arial" w:hAnsi="Arial"/>
        </w:rPr>
        <w:t xml:space="preserve">5.4.1 System Matching</w:t>
      </w:r>
    </w:p>
    <w:p>
      <w:pPr>
        <w:spacing w:after="120" w:before="0" w:line="276"/>
      </w:pPr>
      <w:r>
        <w:rPr>
          <w:rFonts w:ascii="Arial" w:cs="Arial" w:eastAsia="Arial" w:hAnsi="Arial"/>
          <w:sz w:val="22"/>
          <w:szCs w:val="22"/>
        </w:rPr>
        <w:t xml:space="preserve">Systems are matched by PWSID — the unique EPA identifier for each public water system. A system is included in the matched comparison only if it reported results for the same compound in both UCMR 3 and UCMR 5. After excluding 4 systems with incomplete paired data, the matched analytical sample comprises 4,424 systems for each of the 6 shared compounds.</w:t>
      </w:r>
    </w:p>
    <w:p>
      <w:pPr>
        <w:pStyle w:val="Heading3"/>
        <w:spacing w:after="120" w:before="240"/>
      </w:pPr>
      <w:r>
        <w:rPr>
          <w:rFonts w:ascii="Arial" w:cs="Arial" w:eastAsia="Arial" w:hAnsi="Arial"/>
        </w:rPr>
        <w:t xml:space="preserve">5.4.2 MRL Adjustment</w:t>
      </w:r>
    </w:p>
    <w:p>
      <w:pPr>
        <w:spacing w:after="120" w:before="0" w:line="276"/>
      </w:pPr>
      <w:r>
        <w:rPr>
          <w:rFonts w:ascii="Arial" w:cs="Arial" w:eastAsia="Arial" w:hAnsi="Arial"/>
          <w:sz w:val="22"/>
          <w:szCs w:val="22"/>
        </w:rPr>
        <w:t xml:space="preserve">A critical methodological issue is that UCMR 5 uses substantially lower Minimum Reporting Levels (MRLs) than UCMR 3. For example, PFOS MRL decreased from 0.040 µg/L in UCMR 3 to 0.002 µg/L in UCMR 5 (a 20-fold improvement in analytical sensitivity). A naïve comparison of detection rates would confound genuine changes in contamination with improved analytical sensitivity.</w:t>
      </w:r>
    </w:p>
    <w:p>
      <w:pPr>
        <w:spacing w:after="120" w:before="0" w:line="276"/>
      </w:pPr>
      <w:r>
        <w:rPr>
          <w:rFonts w:ascii="Arial" w:cs="Arial" w:eastAsia="Arial" w:hAnsi="Arial"/>
          <w:sz w:val="22"/>
          <w:szCs w:val="22"/>
        </w:rPr>
        <w:t xml:space="preserve">To address this, the analysis computes MRL-adjusted UCMR 5 detection rates by applying the higher UCMR 3 MRL thresholds to the UCMR 5 data. Specifically, a UCMR 5 result is counted as "detected" under MRL adjustment only if the concentration exceeds the UCMR 3 MRL for that compound. This isolates changes in contamination prevalence from changes in analytical sensitivity.</w:t>
      </w:r>
    </w:p>
    <w:p>
      <w:pPr>
        <w:spacing w:after="120" w:line="276"/>
      </w:pPr>
      <w:r>
        <w:rPr>
          <w:rFonts w:ascii="Arial" w:cs="Arial" w:eastAsia="Arial" w:hAnsi="Arial"/>
          <w:b/>
          <w:bCs/>
          <w:sz w:val="22"/>
          <w:szCs w:val="22"/>
        </w:rPr>
        <w:t xml:space="preserve">UCMR 3 MRLs applied (µg/L): </w:t>
      </w:r>
      <w:r>
        <w:rPr>
          <w:rFonts w:ascii="Arial" w:cs="Arial" w:eastAsia="Arial" w:hAnsi="Arial"/>
          <w:sz w:val="22"/>
          <w:szCs w:val="22"/>
        </w:rPr>
        <w:t xml:space="preserve">PFOS = 0.040, PFOA = 0.020, PFHxS = 0.030, PFNA = 0.020, PFBS = 0.090, PFHpA = 0.010</w:t>
      </w:r>
    </w:p>
    <w:p>
      <w:pPr>
        <w:pStyle w:val="Heading3"/>
        <w:spacing w:after="120" w:before="240"/>
      </w:pPr>
      <w:r>
        <w:rPr>
          <w:rFonts w:ascii="Arial" w:cs="Arial" w:eastAsia="Arial" w:hAnsi="Arial"/>
        </w:rPr>
        <w:t xml:space="preserve">5.4.3 McNemar's Exact Test</w:t>
      </w:r>
    </w:p>
    <w:p>
      <w:pPr>
        <w:spacing w:after="120" w:before="0" w:line="276"/>
      </w:pPr>
      <w:r>
        <w:rPr>
          <w:rFonts w:ascii="Arial" w:cs="Arial" w:eastAsia="Arial" w:hAnsi="Arial"/>
          <w:sz w:val="22"/>
          <w:szCs w:val="22"/>
        </w:rPr>
        <w:t xml:space="preserve">McNemar's test is the appropriate test for comparing paired proportions (the same systems measured at two time points). For each compound, the test examines the 2×2 table of concordant (detected/detected, non-detect/non-detect) and discordant (detected in one cycle but not the other) pairs. The exact binomial version is used when the number of discordant pairs is less than 25; otherwise the chi-square approximation is used.</w:t>
      </w:r>
    </w:p>
    <w:p>
      <w:pPr>
        <w:spacing w:after="120" w:before="0" w:line="276"/>
      </w:pPr>
      <w:r>
        <w:rPr>
          <w:rFonts w:ascii="Arial" w:cs="Arial" w:eastAsia="Arial" w:hAnsi="Arial"/>
          <w:sz w:val="22"/>
          <w:szCs w:val="22"/>
        </w:rPr>
        <w:t xml:space="preserve">Because 6 compounds are tested simultaneously, p-values are adjusted using Benjamini-Hochberg FDR correction at α = 0.05.</w:t>
      </w:r>
    </w:p>
    <w:p>
      <w:pPr>
        <w:pStyle w:val="Heading3"/>
        <w:spacing w:after="120" w:before="240"/>
      </w:pPr>
      <w:r>
        <w:rPr>
          <w:rFonts w:ascii="Arial" w:cs="Arial" w:eastAsia="Arial" w:hAnsi="Arial"/>
        </w:rPr>
        <w:t xml:space="preserve">5.4.4 Concentration Distribution Comparison</w:t>
      </w:r>
    </w:p>
    <w:p>
      <w:pPr>
        <w:spacing w:after="120" w:before="0" w:line="276"/>
      </w:pPr>
      <w:r>
        <w:rPr>
          <w:rFonts w:ascii="Arial" w:cs="Arial" w:eastAsia="Arial" w:hAnsi="Arial"/>
          <w:sz w:val="22"/>
          <w:szCs w:val="22"/>
        </w:rPr>
        <w:t xml:space="preserve">For systems where the compound was detected in both UCMR 3 and UCMR 5, concentration distributions are compared using the Mann-Whitney U test. This non-parametric test is chosen because PFAS concentrations are typically right-skewed and non-normally distributed. The test assesses whether the distribution of concentrations shifted between cycles.</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ucmr3_vs_ucmr5_mrl_adjusted.csv — Detection rates with MRL adjustment</w:t>
      </w:r>
    </w:p>
    <w:p>
      <w:pPr>
        <w:pStyle w:val="ListParagraph"/>
        <w:numPr>
          <w:ilvl w:val="0"/>
          <w:numId w:val="3"/>
        </w:numPr>
        <w:spacing w:after="40" w:line="260"/>
      </w:pPr>
      <w:r>
        <w:rPr>
          <w:rFonts w:ascii="Arial" w:cs="Arial" w:eastAsia="Arial" w:hAnsi="Arial"/>
          <w:sz w:val="22"/>
          <w:szCs w:val="22"/>
        </w:rPr>
        <w:t xml:space="preserve">ucmr3_comparison_mcnemar_enhanced.csv — McNemar test results with FDR</w:t>
      </w:r>
    </w:p>
    <w:p>
      <w:pPr>
        <w:pStyle w:val="ListParagraph"/>
        <w:numPr>
          <w:ilvl w:val="0"/>
          <w:numId w:val="3"/>
        </w:numPr>
        <w:spacing w:after="40" w:line="260"/>
      </w:pPr>
      <w:r>
        <w:rPr>
          <w:rFonts w:ascii="Arial" w:cs="Arial" w:eastAsia="Arial" w:hAnsi="Arial"/>
          <w:sz w:val="22"/>
          <w:szCs w:val="22"/>
        </w:rPr>
        <w:t xml:space="preserve">ucmr3_comparison_mannwhitney.csv — Concentration distribution comparisons</w:t>
      </w:r>
    </w:p>
    <w:p>
      <w:pPr>
        <w:pStyle w:val="ListParagraph"/>
        <w:numPr>
          <w:ilvl w:val="0"/>
          <w:numId w:val="3"/>
        </w:numPr>
        <w:spacing w:after="120" w:line="260"/>
      </w:pPr>
      <w:r>
        <w:rPr>
          <w:rFonts w:ascii="Arial" w:cs="Arial" w:eastAsia="Arial" w:hAnsi="Arial"/>
          <w:sz w:val="22"/>
          <w:szCs w:val="22"/>
        </w:rPr>
        <w:t xml:space="preserve">ucmr3_matched_concordance.csv — Concordance/discordance tables</w:t>
      </w:r>
    </w:p>
    <w:p>
      <w:r>
        <w:br w:type="page"/>
      </w:r>
    </w:p>
    <w:p>
      <w:pPr>
        <w:pStyle w:val="Heading2"/>
        <w:spacing w:after="120" w:before="240"/>
      </w:pPr>
      <w:r>
        <w:rPr>
          <w:rFonts w:ascii="Arial" w:cs="Arial" w:eastAsia="Arial" w:hAnsi="Arial"/>
        </w:rPr>
        <w:t xml:space="preserve">5.5 Script 05: Logistic Regression (05_regression.py)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Fit multivariable logistic regression models to identify system-level and geographic predictors of PFAS detection and MCL exceedance.</w:t>
      </w:r>
    </w:p>
    <w:p>
      <w:pPr>
        <w:pStyle w:val="Heading3"/>
        <w:spacing w:after="120" w:before="240"/>
      </w:pPr>
      <w:r>
        <w:rPr>
          <w:rFonts w:ascii="Arial" w:cs="Arial" w:eastAsia="Arial" w:hAnsi="Arial"/>
        </w:rPr>
        <w:t xml:space="preserve">5.5.1 Model Specification</w:t>
      </w:r>
    </w:p>
    <w:p>
      <w:pPr>
        <w:spacing w:after="120" w:before="0" w:line="276"/>
      </w:pPr>
      <w:r>
        <w:rPr>
          <w:rFonts w:ascii="Arial" w:cs="Arial" w:eastAsia="Arial" w:hAnsi="Arial"/>
          <w:sz w:val="22"/>
          <w:szCs w:val="22"/>
        </w:rPr>
        <w:t xml:space="preserve">Two models are fitted:</w:t>
      </w:r>
    </w:p>
    <w:p>
      <w:pPr>
        <w:spacing w:after="120" w:line="276"/>
      </w:pPr>
      <w:r>
        <w:rPr>
          <w:rFonts w:ascii="Arial" w:cs="Arial" w:eastAsia="Arial" w:hAnsi="Arial"/>
          <w:b/>
          <w:bCs/>
          <w:sz w:val="22"/>
          <w:szCs w:val="22"/>
        </w:rPr>
        <w:t xml:space="preserve">Primary Model (N = 10,137): </w:t>
      </w:r>
      <w:r>
        <w:rPr>
          <w:rFonts w:ascii="Arial" w:cs="Arial" w:eastAsia="Arial" w:hAnsi="Arial"/>
          <w:sz w:val="22"/>
          <w:szCs w:val="22"/>
        </w:rPr>
        <w:t xml:space="preserve">Outcome is any_pfas_detected (binary). Predictors include log-transformed population served (log_population), source water type (surface water indicator: source_water_SW), ownership type (private indicator: owner_private), log-transformed distances to nearest PFAS sources (log_dist_superfund, log_dist_federal, log_dist_spills), log population density (log_pop_density), and EPA Region dummy variables. The reference category for EPA Regions is a combined category of Regions 5 and 8–10 (chosen because these regions have similar detection rates near the national average).</w:t>
      </w:r>
    </w:p>
    <w:p>
      <w:pPr>
        <w:spacing w:after="120" w:line="276"/>
      </w:pPr>
      <w:r>
        <w:rPr>
          <w:rFonts w:ascii="Arial" w:cs="Arial" w:eastAsia="Arial" w:hAnsi="Arial"/>
          <w:b/>
          <w:bCs/>
          <w:sz w:val="22"/>
          <w:szCs w:val="22"/>
        </w:rPr>
        <w:t xml:space="preserve">Demographic Model (N = 4,444): </w:t>
      </w:r>
      <w:r>
        <w:rPr>
          <w:rFonts w:ascii="Arial" w:cs="Arial" w:eastAsia="Arial" w:hAnsi="Arial"/>
          <w:sz w:val="22"/>
          <w:szCs w:val="22"/>
        </w:rPr>
        <w:t xml:space="preserve">Same predictors as above plus pct_minority (percent minority population) and pct_lowincome (percent low-income population) from ECHO. This model uses a reduced sample because ECHO demographic data are not available for all systems. The 43.2% sample retention rate is assessed via IPW sensitivity analysis (Script 07).</w:t>
      </w:r>
    </w:p>
    <w:p>
      <w:pPr>
        <w:pStyle w:val="Heading3"/>
        <w:spacing w:after="120" w:before="240"/>
      </w:pPr>
      <w:r>
        <w:rPr>
          <w:rFonts w:ascii="Arial" w:cs="Arial" w:eastAsia="Arial" w:hAnsi="Arial"/>
        </w:rPr>
        <w:t xml:space="preserve">5.5.2 Model Diagnostics</w:t>
      </w:r>
    </w:p>
    <w:p>
      <w:pPr>
        <w:spacing w:after="120" w:before="0" w:line="276"/>
      </w:pPr>
      <w:r>
        <w:rPr>
          <w:rFonts w:ascii="Arial" w:cs="Arial" w:eastAsia="Arial" w:hAnsi="Arial"/>
          <w:sz w:val="22"/>
          <w:szCs w:val="22"/>
        </w:rPr>
        <w:t xml:space="preserve">Comprehensive diagnostics are computed for both models:</w:t>
      </w:r>
    </w:p>
    <w:p>
      <w:pPr>
        <w:pStyle w:val="ListParagraph"/>
        <w:numPr>
          <w:ilvl w:val="0"/>
          <w:numId w:val="3"/>
        </w:numPr>
        <w:spacing w:after="60" w:line="260"/>
      </w:pPr>
      <w:r>
        <w:rPr>
          <w:rFonts w:ascii="Arial" w:cs="Arial" w:eastAsia="Arial" w:hAnsi="Arial"/>
          <w:sz w:val="22"/>
          <w:szCs w:val="22"/>
        </w:rPr>
        <w:t xml:space="preserve">Hosmer-Lemeshow Goodness-of-Fit Test: Groups observations into deciles of predicted probability and compares observed to expected event counts. A significant p-value (&lt; 0.05) suggests poor calibration. Note: with large samples (N &gt; 5,000), the H-L test is overpowered and may reject even well-calibrated models. The manuscript addresses this by also reporting visual calibration plots.</w:t>
      </w:r>
    </w:p>
    <w:p>
      <w:pPr>
        <w:pStyle w:val="ListParagraph"/>
        <w:numPr>
          <w:ilvl w:val="0"/>
          <w:numId w:val="3"/>
        </w:numPr>
        <w:spacing w:after="60" w:line="260"/>
      </w:pPr>
      <w:r>
        <w:rPr>
          <w:rFonts w:ascii="Arial" w:cs="Arial" w:eastAsia="Arial" w:hAnsi="Arial"/>
          <w:sz w:val="22"/>
          <w:szCs w:val="22"/>
        </w:rPr>
        <w:t xml:space="preserve">Calibration Curves: Plot observed event rates against predicted probabilities across deciles. Well-calibrated models show points near the 45-degree line.</w:t>
      </w:r>
    </w:p>
    <w:p>
      <w:pPr>
        <w:pStyle w:val="ListParagraph"/>
        <w:numPr>
          <w:ilvl w:val="0"/>
          <w:numId w:val="3"/>
        </w:numPr>
        <w:spacing w:after="60" w:line="260"/>
      </w:pPr>
      <w:r>
        <w:rPr>
          <w:rFonts w:ascii="Arial" w:cs="Arial" w:eastAsia="Arial" w:hAnsi="Arial"/>
          <w:sz w:val="22"/>
          <w:szCs w:val="22"/>
        </w:rPr>
        <w:t xml:space="preserve">Cook's Distance: Identifies influential observations. Threshold = 4/n. Observations exceeding this threshold are flagged but not removed, as the goal is inferential rather than predictive.</w:t>
      </w:r>
    </w:p>
    <w:p>
      <w:pPr>
        <w:pStyle w:val="ListParagraph"/>
        <w:numPr>
          <w:ilvl w:val="0"/>
          <w:numId w:val="3"/>
        </w:numPr>
        <w:spacing w:after="60" w:line="260"/>
      </w:pPr>
      <w:r>
        <w:rPr>
          <w:rFonts w:ascii="Arial" w:cs="Arial" w:eastAsia="Arial" w:hAnsi="Arial"/>
          <w:sz w:val="22"/>
          <w:szCs w:val="22"/>
        </w:rPr>
        <w:t xml:space="preserve">Deviance Residuals: Distribution should be approximately symmetric around zero for well-specified models.</w:t>
      </w:r>
    </w:p>
    <w:p>
      <w:pPr>
        <w:pStyle w:val="ListParagraph"/>
        <w:numPr>
          <w:ilvl w:val="0"/>
          <w:numId w:val="3"/>
        </w:numPr>
        <w:spacing w:after="60" w:line="260"/>
      </w:pPr>
      <w:r>
        <w:rPr>
          <w:rFonts w:ascii="Arial" w:cs="Arial" w:eastAsia="Arial" w:hAnsi="Arial"/>
          <w:sz w:val="22"/>
          <w:szCs w:val="22"/>
        </w:rPr>
        <w:t xml:space="preserve">Pseudo-R² Measures: McFadden, Cox-Snell, and Nagelkerke pseudo-R² values. These are not directly comparable to OLS R² but provide relative measures of model explanatory power.</w:t>
      </w:r>
    </w:p>
    <w:p>
      <w:pPr>
        <w:pStyle w:val="ListParagraph"/>
        <w:numPr>
          <w:ilvl w:val="0"/>
          <w:numId w:val="3"/>
        </w:numPr>
        <w:spacing w:after="60" w:line="260"/>
      </w:pPr>
      <w:r>
        <w:rPr>
          <w:rFonts w:ascii="Arial" w:cs="Arial" w:eastAsia="Arial" w:hAnsi="Arial"/>
          <w:sz w:val="22"/>
          <w:szCs w:val="22"/>
        </w:rPr>
        <w:t xml:space="preserve">AUC/ROC: Area under the receiver operating characteristic curve. AUC = 0.700 for detection model and 0.752 for exceedance model, indicating modest but acceptable discrimination.</w:t>
      </w:r>
    </w:p>
    <w:p>
      <w:pPr>
        <w:pStyle w:val="ListParagraph"/>
        <w:numPr>
          <w:ilvl w:val="0"/>
          <w:numId w:val="3"/>
        </w:numPr>
        <w:spacing w:after="60" w:line="260"/>
      </w:pPr>
      <w:r>
        <w:rPr>
          <w:rFonts w:ascii="Arial" w:cs="Arial" w:eastAsia="Arial" w:hAnsi="Arial"/>
          <w:sz w:val="22"/>
          <w:szCs w:val="22"/>
        </w:rPr>
        <w:t xml:space="preserve">VIF (Variance Inflation Factor): All VIF values &lt; 5 indicate no multicollinearity concerns.</w:t>
      </w:r>
    </w:p>
    <w:p>
      <w:pPr>
        <w:pStyle w:val="Heading3"/>
        <w:spacing w:after="120" w:before="240"/>
      </w:pPr>
      <w:r>
        <w:rPr>
          <w:rFonts w:ascii="Arial" w:cs="Arial" w:eastAsia="Arial" w:hAnsi="Arial"/>
        </w:rPr>
        <w:t xml:space="preserve">5.5.3 GEE Sensitivity Analysis</w:t>
      </w:r>
    </w:p>
    <w:p>
      <w:pPr>
        <w:spacing w:after="120" w:before="0" w:line="276"/>
      </w:pPr>
      <w:r>
        <w:rPr>
          <w:rFonts w:ascii="Arial" w:cs="Arial" w:eastAsia="Arial" w:hAnsi="Arial"/>
          <w:sz w:val="22"/>
          <w:szCs w:val="22"/>
        </w:rPr>
        <w:t xml:space="preserve">Generalized Estimating Equations (GEE) with exchangeable correlation structure, clustering by state, are fitted to test whether regression coefficients are robust to within-state correlation. Standard logistic regression assumes independence across observations, which is violated when systems within the same state share geographic and regulatory characteristics. GEE provides population-averaged estimates that account for this clustering. The key finding is that the minority population effect disappears under GEE (OR 1.005, p = 0.912) while remaining marginally significant under EPA Region fixed effects (OR 1.040, p = 0.062), suggesting that geographic clustering — not race per se — drives the observed demographic association.</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regression_primary_detection_jan2026.csv — Primary model ORs and CIs</w:t>
      </w:r>
    </w:p>
    <w:p>
      <w:pPr>
        <w:pStyle w:val="ListParagraph"/>
        <w:numPr>
          <w:ilvl w:val="0"/>
          <w:numId w:val="3"/>
        </w:numPr>
        <w:spacing w:after="40" w:line="260"/>
      </w:pPr>
      <w:r>
        <w:rPr>
          <w:rFonts w:ascii="Arial" w:cs="Arial" w:eastAsia="Arial" w:hAnsi="Arial"/>
          <w:sz w:val="22"/>
          <w:szCs w:val="22"/>
        </w:rPr>
        <w:t xml:space="preserve">regression_hosmer_lemeshow.csv — H-L decile table</w:t>
      </w:r>
    </w:p>
    <w:p>
      <w:pPr>
        <w:pStyle w:val="ListParagraph"/>
        <w:numPr>
          <w:ilvl w:val="0"/>
          <w:numId w:val="3"/>
        </w:numPr>
        <w:spacing w:after="40" w:line="260"/>
      </w:pPr>
      <w:r>
        <w:rPr>
          <w:rFonts w:ascii="Arial" w:cs="Arial" w:eastAsia="Arial" w:hAnsi="Arial"/>
          <w:sz w:val="22"/>
          <w:szCs w:val="22"/>
        </w:rPr>
        <w:t xml:space="preserve">regression_gee_sensitivity_jan2026.csv — GEE vs. standard logistic comparison</w:t>
      </w:r>
    </w:p>
    <w:p>
      <w:pPr>
        <w:pStyle w:val="ListParagraph"/>
        <w:numPr>
          <w:ilvl w:val="0"/>
          <w:numId w:val="3"/>
        </w:numPr>
        <w:spacing w:after="120" w:line="260"/>
      </w:pPr>
      <w:r>
        <w:rPr>
          <w:rFonts w:ascii="Arial" w:cs="Arial" w:eastAsia="Arial" w:hAnsi="Arial"/>
          <w:sz w:val="22"/>
          <w:szCs w:val="22"/>
        </w:rPr>
        <w:t xml:space="preserve">regression_diagnostics_enhanced.csv — AUC, pseudo-R², VIF values</w:t>
      </w:r>
    </w:p>
    <w:p>
      <w:r>
        <w:br w:type="page"/>
      </w:r>
    </w:p>
    <w:p>
      <w:pPr>
        <w:pStyle w:val="Heading2"/>
        <w:spacing w:after="120" w:before="240"/>
      </w:pPr>
      <w:r>
        <w:rPr>
          <w:rFonts w:ascii="Arial" w:cs="Arial" w:eastAsia="Arial" w:hAnsi="Arial"/>
        </w:rPr>
        <w:t xml:space="preserve">5.6 Script 06: RAA Conversion and Population Exposure (06_raa_population.py)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Convert screening exceedances to estimated compliance-relevant exceedances using Running Annual Average (RAA) methodology, and compute population exposure estimates with uncertainty quantification.</w:t>
      </w:r>
    </w:p>
    <w:p>
      <w:pPr>
        <w:pStyle w:val="Heading3"/>
        <w:spacing w:after="120" w:before="240"/>
      </w:pPr>
      <w:r>
        <w:rPr>
          <w:rFonts w:ascii="Arial" w:cs="Arial" w:eastAsia="Arial" w:hAnsi="Arial"/>
        </w:rPr>
        <w:t xml:space="preserve">5.6.1 Running Annual Average Conversion</w:t>
      </w:r>
    </w:p>
    <w:p>
      <w:pPr>
        <w:spacing w:after="120" w:before="0" w:line="276"/>
      </w:pPr>
      <w:r>
        <w:rPr>
          <w:rFonts w:ascii="Arial" w:cs="Arial" w:eastAsia="Arial" w:hAnsi="Arial"/>
          <w:sz w:val="22"/>
          <w:szCs w:val="22"/>
        </w:rPr>
        <w:t xml:space="preserve">EPA compliance determinations use the Running Annual Average (RAA) — the mean of quarterly sample results over four consecutive quarters — rather than individual sample results. Systems with screening exceedances (any single sample &gt; MCL) may or may not exceed the MCL on an RAA basis, because averaging across quarters can dilute isolated high results.</w:t>
      </w:r>
    </w:p>
    <w:p>
      <w:pPr>
        <w:spacing w:after="120" w:before="0" w:line="276"/>
      </w:pPr>
      <w:r>
        <w:rPr>
          <w:rFonts w:ascii="Arial" w:cs="Arial" w:eastAsia="Arial" w:hAnsi="Arial"/>
          <w:sz w:val="22"/>
          <w:szCs w:val="22"/>
        </w:rPr>
        <w:t xml:space="preserve">Three RAA proxies are computed: (1) Maximum concentration across all quarters (most conservative — represents worst-case), (2) Mean concentration across quarters (best RAA approximation), and (3) Median concentration (robust central tendency). Of the 1,717 systems with any screening exceedance, approximately 695 (40.5%) would still exceed on an RAA basis using the mean-concentration proxy. This conversion factor is a key manuscript finding.</w:t>
      </w:r>
    </w:p>
    <w:p>
      <w:pPr>
        <w:pStyle w:val="Heading3"/>
        <w:spacing w:after="120" w:before="240"/>
      </w:pPr>
      <w:r>
        <w:rPr>
          <w:rFonts w:ascii="Arial" w:cs="Arial" w:eastAsia="Arial" w:hAnsi="Arial"/>
        </w:rPr>
        <w:t xml:space="preserve">5.6.2 Population Exposure Cascade</w:t>
      </w:r>
    </w:p>
    <w:p>
      <w:pPr>
        <w:spacing w:after="120" w:before="0" w:line="276"/>
      </w:pPr>
      <w:r>
        <w:rPr>
          <w:rFonts w:ascii="Arial" w:cs="Arial" w:eastAsia="Arial" w:hAnsi="Arial"/>
          <w:sz w:val="22"/>
          <w:szCs w:val="22"/>
        </w:rPr>
        <w:t xml:space="preserve">Population exposure is estimated as the sum of population_served_count for systems meeting each contamination threshold. The cascade proceeds: total monitored population → population served by systems with any detection → population served by systems with screening exceedances → population served by systems with estimated RAA exceedances. The headline estimate is 64–80 million people served by systems with at least one PFAS detection.</w:t>
      </w:r>
    </w:p>
    <w:p>
      <w:pPr>
        <w:spacing w:after="120" w:line="276"/>
      </w:pPr>
      <w:r>
        <w:rPr>
          <w:rFonts w:ascii="Arial" w:cs="Arial" w:eastAsia="Arial" w:hAnsi="Arial"/>
          <w:b/>
          <w:bCs/>
          <w:i/>
          <w:iCs/>
          <w:sz w:val="22"/>
          <w:szCs w:val="22"/>
        </w:rPr>
        <w:t xml:space="preserve">Ecological Fallacy Caveat: </w:t>
      </w:r>
      <w:r>
        <w:rPr>
          <w:rFonts w:ascii="Arial" w:cs="Arial" w:eastAsia="Arial" w:hAnsi="Arial"/>
          <w:sz w:val="22"/>
          <w:szCs w:val="22"/>
        </w:rPr>
        <w:t xml:space="preserve">System-level detection does not mean all customers are exposed. Large systems may have multiple entry points, and contamination at one entry point does not imply exposure at all service connections. This caveat is noted in the manuscript Limitations section.</w:t>
      </w:r>
    </w:p>
    <w:p>
      <w:pPr>
        <w:pStyle w:val="Heading3"/>
        <w:spacing w:after="120" w:before="240"/>
      </w:pPr>
      <w:r>
        <w:rPr>
          <w:rFonts w:ascii="Arial" w:cs="Arial" w:eastAsia="Arial" w:hAnsi="Arial"/>
        </w:rPr>
        <w:t xml:space="preserve">5.6.3 Bootstrap Confidence Intervals for Population Estimates</w:t>
      </w:r>
    </w:p>
    <w:p>
      <w:pPr>
        <w:spacing w:after="120" w:before="0" w:line="276"/>
      </w:pPr>
      <w:r>
        <w:rPr>
          <w:rFonts w:ascii="Arial" w:cs="Arial" w:eastAsia="Arial" w:hAnsi="Arial"/>
          <w:sz w:val="22"/>
          <w:szCs w:val="22"/>
        </w:rPr>
        <w:t xml:space="preserve">Bootstrap CIs (n = 1,000 iterations) are computed by resampling systems with replacement and recalculating the total exposed population in each bootstrap replicate. The 2.5th and 97.5th percentiles provide 95% CIs. This approach accounts for the sampling variability inherent in the UCMR 5 monitoring program (not all systems were monitored).</w:t>
      </w:r>
    </w:p>
    <w:p>
      <w:pPr>
        <w:pStyle w:val="Heading3"/>
        <w:spacing w:after="120" w:before="240"/>
      </w:pPr>
      <w:r>
        <w:rPr>
          <w:rFonts w:ascii="Arial" w:cs="Arial" w:eastAsia="Arial" w:hAnsi="Arial"/>
        </w:rPr>
        <w:t xml:space="preserve">5.6.4 Monte Carlo HI Sensitivity Analysis</w:t>
      </w:r>
    </w:p>
    <w:p>
      <w:pPr>
        <w:spacing w:after="120" w:before="0" w:line="276"/>
      </w:pPr>
      <w:r>
        <w:rPr>
          <w:rFonts w:ascii="Arial" w:cs="Arial" w:eastAsia="Arial" w:hAnsi="Arial"/>
          <w:sz w:val="22"/>
          <w:szCs w:val="22"/>
        </w:rPr>
        <w:t xml:space="preserve">Because HBWC values carry inherent toxicological uncertainty, Monte Carlo simulation tests whether HI exceedance conclusions are robust to HBWC variation. In each of 10,000 simulation iterations, HBWCs are randomly perturbed by ±10% and ±20% (uniform distribution), the HI is recalculated for all systems, and the number of HI exceedances is recorded. The results show that HI exceedance counts are stable across simulations (11.4–11.8% of systems exceed under ±20% perturbation), confirming robustness.</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raa_conversion_enhanced.csv — RAA conversion analysis results</w:t>
      </w:r>
    </w:p>
    <w:p>
      <w:pPr>
        <w:pStyle w:val="ListParagraph"/>
        <w:numPr>
          <w:ilvl w:val="0"/>
          <w:numId w:val="3"/>
        </w:numPr>
        <w:spacing w:after="40" w:line="260"/>
      </w:pPr>
      <w:r>
        <w:rPr>
          <w:rFonts w:ascii="Arial" w:cs="Arial" w:eastAsia="Arial" w:hAnsi="Arial"/>
          <w:sz w:val="22"/>
          <w:szCs w:val="22"/>
        </w:rPr>
        <w:t xml:space="preserve">population_exposure_enhanced.csv — Population exposure cascade with CIs</w:t>
      </w:r>
    </w:p>
    <w:p>
      <w:pPr>
        <w:pStyle w:val="ListParagraph"/>
        <w:numPr>
          <w:ilvl w:val="0"/>
          <w:numId w:val="3"/>
        </w:numPr>
        <w:spacing w:after="120" w:line="260"/>
      </w:pPr>
      <w:r>
        <w:rPr>
          <w:rFonts w:ascii="Arial" w:cs="Arial" w:eastAsia="Arial" w:hAnsi="Arial"/>
          <w:sz w:val="22"/>
          <w:szCs w:val="22"/>
        </w:rPr>
        <w:t xml:space="preserve">hi_sensitivity_monte_carlo.csv — Monte Carlo HI sensitivity results</w:t>
      </w:r>
    </w:p>
    <w:p>
      <w:r>
        <w:br w:type="page"/>
      </w:r>
    </w:p>
    <w:p>
      <w:pPr>
        <w:pStyle w:val="Heading2"/>
        <w:spacing w:after="120" w:before="240"/>
      </w:pPr>
      <w:r>
        <w:rPr>
          <w:rFonts w:ascii="Arial" w:cs="Arial" w:eastAsia="Arial" w:hAnsi="Arial"/>
        </w:rPr>
        <w:t xml:space="preserve">5.7 Script 07: IPW Sensitivity Analysis (07_ipw_sensitivity.py)</w:t>
      </w: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Assess whether the 43.2% sample retention rate in the demographic regression model introduces selection bias, using Inverse Probability Weighting.</w:t>
      </w:r>
    </w:p>
    <w:p>
      <w:pPr>
        <w:pStyle w:val="Heading3"/>
        <w:spacing w:after="120" w:before="240"/>
      </w:pPr>
      <w:r>
        <w:rPr>
          <w:rFonts w:ascii="Arial" w:cs="Arial" w:eastAsia="Arial" w:hAnsi="Arial"/>
        </w:rPr>
        <w:t xml:space="preserve">5.7.1 Selection Bias Concern</w:t>
      </w:r>
    </w:p>
    <w:p>
      <w:pPr>
        <w:spacing w:after="120" w:before="0" w:line="276"/>
      </w:pPr>
      <w:r>
        <w:rPr>
          <w:rFonts w:ascii="Arial" w:cs="Arial" w:eastAsia="Arial" w:hAnsi="Arial"/>
          <w:sz w:val="22"/>
          <w:szCs w:val="22"/>
        </w:rPr>
        <w:t xml:space="preserve">The demographic model (Script 05) uses only 4,444 of 10,297 systems because ECHO demographic data are not available for all systems. If the systems with available demographic data differ systematically from those without (e.g., if urban systems are overrepresented), the regression coefficients may be biased. IPW addresses this by upweighting underrepresented system types to approximate the full-sample distribution.</w:t>
      </w:r>
    </w:p>
    <w:p>
      <w:pPr>
        <w:pStyle w:val="Heading3"/>
        <w:spacing w:after="120" w:before="240"/>
      </w:pPr>
      <w:r>
        <w:rPr>
          <w:rFonts w:ascii="Arial" w:cs="Arial" w:eastAsia="Arial" w:hAnsi="Arial"/>
        </w:rPr>
        <w:t xml:space="preserve">5.7.2 Propensity Model</w:t>
      </w:r>
    </w:p>
    <w:p>
      <w:pPr>
        <w:spacing w:after="120" w:before="0" w:line="276"/>
      </w:pPr>
      <w:r>
        <w:rPr>
          <w:rFonts w:ascii="Arial" w:cs="Arial" w:eastAsia="Arial" w:hAnsi="Arial"/>
          <w:sz w:val="22"/>
          <w:szCs w:val="22"/>
        </w:rPr>
        <w:t xml:space="preserve">A logistic regression model predicts P(has_demographic_data = 1 | covariates) using the same system-level predictors available for all systems: log_population, source_water_SW, owner_private, log-distance variables, EPA Region indicators, and any_pfas_detected. The predicted probabilities (propensity scores) are truncated at the 1st and 99th percentiles to prevent extreme weights.</w:t>
      </w:r>
    </w:p>
    <w:p>
      <w:pPr>
        <w:pStyle w:val="Heading3"/>
        <w:spacing w:after="120" w:before="240"/>
      </w:pPr>
      <w:r>
        <w:rPr>
          <w:rFonts w:ascii="Arial" w:cs="Arial" w:eastAsia="Arial" w:hAnsi="Arial"/>
        </w:rPr>
        <w:t xml:space="preserve">5.7.3 Weighted vs. Unweighted Comparison</w:t>
      </w:r>
    </w:p>
    <w:p>
      <w:pPr>
        <w:spacing w:after="120" w:before="0" w:line="276"/>
      </w:pPr>
      <w:r>
        <w:rPr>
          <w:rFonts w:ascii="Arial" w:cs="Arial" w:eastAsia="Arial" w:hAnsi="Arial"/>
          <w:sz w:val="22"/>
          <w:szCs w:val="22"/>
        </w:rPr>
        <w:t xml:space="preserve">The demographic logistic regression is refitted with IPW weights (w = 1 / propensity_score for included systems). If IPW-weighted and unweighted estimates agree closely, selection bias is minimal. The key finding is that 0 out of 18 predictors changed direction (sign of coefficient) and the mean absolute change in odds ratios was 4.8%, indicating negligible selection bias.</w:t>
      </w:r>
    </w:p>
    <w:p>
      <w:pPr>
        <w:spacing w:after="120" w:before="0" w:line="276"/>
      </w:pPr>
      <w:r>
        <w:rPr>
          <w:rFonts w:ascii="Arial" w:cs="Arial" w:eastAsia="Arial" w:hAnsi="Arial"/>
          <w:sz w:val="22"/>
          <w:szCs w:val="22"/>
        </w:rPr>
        <w:t xml:space="preserve">Covariate balance is also assessed using Standardized Mean Differences (SMD), chi-square tests, and Mann-Whitney U tests comparing the demographic-available and demographic-missing subsamples. SMD &lt; 0.1 is considered negligible imbalance.</w:t>
      </w:r>
    </w:p>
    <w:p>
      <w:pPr>
        <w:spacing w:after="120" w:line="276"/>
      </w:pPr>
      <w:r>
        <w:rPr>
          <w:rFonts w:ascii="Arial" w:cs="Arial" w:eastAsia="Arial" w:hAnsi="Arial"/>
          <w:b/>
          <w:bCs/>
          <w:sz w:val="22"/>
          <w:szCs w:val="22"/>
        </w:rPr>
        <w:t xml:space="preserve">Key Outputs:</w:t>
      </w:r>
    </w:p>
    <w:p>
      <w:pPr>
        <w:pStyle w:val="ListParagraph"/>
        <w:numPr>
          <w:ilvl w:val="0"/>
          <w:numId w:val="3"/>
        </w:numPr>
        <w:spacing w:after="40" w:line="260"/>
      </w:pPr>
      <w:r>
        <w:rPr>
          <w:rFonts w:ascii="Arial" w:cs="Arial" w:eastAsia="Arial" w:hAnsi="Arial"/>
          <w:sz w:val="22"/>
          <w:szCs w:val="22"/>
        </w:rPr>
        <w:t xml:space="preserve">ipw_propensity_model.csv — Propensity score model coefficients</w:t>
      </w:r>
    </w:p>
    <w:p>
      <w:pPr>
        <w:pStyle w:val="ListParagraph"/>
        <w:numPr>
          <w:ilvl w:val="0"/>
          <w:numId w:val="3"/>
        </w:numPr>
        <w:spacing w:after="40" w:line="260"/>
      </w:pPr>
      <w:r>
        <w:rPr>
          <w:rFonts w:ascii="Arial" w:cs="Arial" w:eastAsia="Arial" w:hAnsi="Arial"/>
          <w:sz w:val="22"/>
          <w:szCs w:val="22"/>
        </w:rPr>
        <w:t xml:space="preserve">ipw_weighted_vs_unweighted.csv — Weighted vs. unweighted OR comparison</w:t>
      </w:r>
    </w:p>
    <w:p>
      <w:pPr>
        <w:pStyle w:val="ListParagraph"/>
        <w:numPr>
          <w:ilvl w:val="0"/>
          <w:numId w:val="3"/>
        </w:numPr>
        <w:spacing w:after="120" w:line="260"/>
      </w:pPr>
      <w:r>
        <w:rPr>
          <w:rFonts w:ascii="Arial" w:cs="Arial" w:eastAsia="Arial" w:hAnsi="Arial"/>
          <w:sz w:val="22"/>
          <w:szCs w:val="22"/>
        </w:rPr>
        <w:t xml:space="preserve">ipw_covariate_comparison.csv — SMD and balance diagnostics</w:t>
      </w:r>
    </w:p>
    <w:p>
      <w:r>
        <w:br w:type="page"/>
      </w:r>
    </w:p>
    <w:p>
      <w:pPr>
        <w:pStyle w:val="Heading1"/>
        <w:spacing w:after="120" w:before="360"/>
      </w:pPr>
      <w:r>
        <w:rPr>
          <w:rFonts w:ascii="Arial" w:cs="Arial" w:eastAsia="Arial" w:hAnsi="Arial"/>
        </w:rPr>
        <w:t xml:space="preserve">6. Figure Generation</w:t>
      </w:r>
    </w:p>
    <w:p>
      <w:pPr>
        <w:spacing w:after="120" w:before="0" w:line="276"/>
      </w:pPr>
      <w:r>
        <w:rPr>
          <w:rFonts w:ascii="Arial" w:cs="Arial" w:eastAsia="Arial" w:hAnsi="Arial"/>
          <w:sz w:val="22"/>
          <w:szCs w:val="22"/>
        </w:rPr>
        <w:t xml:space="preserve">All figures are generated by dedicated Python scripts in 03_Scripts/02_Figures/. Each script reads from output CSVs produced by the analysis pipeline (Section 5) and generates both PDF and PNG (600 DPI) versions in 04_Figures/. Figures use matplotlib and seaborn for static plots, and geopandas for the choropleth map.</w:t>
      </w:r>
    </w:p>
    <w:p>
      <w:pPr>
        <w:pStyle w:val="Heading2"/>
        <w:spacing w:after="120" w:before="240"/>
      </w:pPr>
      <w:r>
        <w:rPr>
          <w:rFonts w:ascii="Arial" w:cs="Arial" w:eastAsia="Arial" w:hAnsi="Arial"/>
        </w:rPr>
        <w:t xml:space="preserve">6.1 Main Manuscript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36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Figure</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4-panel overview (detection rates, exceedances, top states, population cascade)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Figure_1_Overview.py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core_statistics_*.csv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Choropleth map of state-level detection rates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Figure_2_Geographic_Map.py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geographic_*.csv + shapefile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Forest plots of logistic regression 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Figure_3_Forest_Plot.py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regression_ors_*.csv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Co-occurrence panels (matrix, MCA biplot, exceedance overlap)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Figure_4_Cooccurrence.py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cooccurrence_*.csv, mca_*.csv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Treatment gap (status by size + RAA conversion)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Figure_5_Treatment_RAA.py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raa_*.csv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UCMR 3 vs. UCMR 5 comparison with regulatory timeline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Figure_6_UCMR3_Comparison.py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ucmr3_*.csv</w:t>
            </w:r>
          </w:p>
        </w:tc>
      </w:tr>
    </w:tbl>
    <w:p>
      <w:pPr>
        <w:pStyle w:val="Heading2"/>
        <w:spacing w:after="120" w:before="240"/>
      </w:pPr>
      <w:r>
        <w:rPr>
          <w:rFonts w:ascii="Arial" w:cs="Arial" w:eastAsia="Arial" w:hAnsi="Arial"/>
        </w:rPr>
        <w:t xml:space="preserve">6.2 Supplementary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Figure</w:t>
            </w:r>
          </w:p>
        </w:tc>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Script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 component contributions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Figure_S1_HI_Components.py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Z-score significance plot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Figure_S2_State_ZScores.py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water detection signatures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Figure_S3_Source_Signatures.py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MCA biplot (full version)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Figure_S4_MCA_Biplot.py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Temporal detection trends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Figure_S5_Temporal.py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Deviance residual distribution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Figure_S6_Deviance_Residuals.py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 plot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Figure_S7_Calibration_Plot.py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Cook's distance plot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Figure_S8_Cooks_Distance.py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MCA scree plot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Figure_S9_MCA_Scree.py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Concentration distributions by compound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Figure_S10_Concentration_Distributions.py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 Monte Carlo sensitivity results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Figure_S11_HI_Sensitivity.py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UCMR 3 McNemar concordance plots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Figure_S12_UCMR3_McNemar.py</w:t>
            </w:r>
          </w:p>
        </w:tc>
      </w:tr>
    </w:tbl>
    <w:p>
      <w:r>
        <w:br w:type="page"/>
      </w:r>
    </w:p>
    <w:p>
      <w:pPr>
        <w:pStyle w:val="Heading1"/>
        <w:spacing w:after="120" w:before="360"/>
      </w:pPr>
      <w:r>
        <w:rPr>
          <w:rFonts w:ascii="Arial" w:cs="Arial" w:eastAsia="Arial" w:hAnsi="Arial"/>
        </w:rPr>
        <w:t xml:space="preserve">7. Key Assumptions and Limitations</w:t>
      </w:r>
    </w:p>
    <w:p>
      <w:pPr>
        <w:pStyle w:val="Heading2"/>
        <w:spacing w:after="120" w:before="240"/>
      </w:pPr>
      <w:r>
        <w:rPr>
          <w:rFonts w:ascii="Arial" w:cs="Arial" w:eastAsia="Arial" w:hAnsi="Arial"/>
        </w:rPr>
        <w:t xml:space="preserve">7.1 Analytical Assumptions</w:t>
      </w:r>
    </w:p>
    <w:p>
      <w:pPr>
        <w:pStyle w:val="ListParagraph"/>
        <w:numPr>
          <w:ilvl w:val="0"/>
          <w:numId w:val="4"/>
        </w:numPr>
        <w:spacing w:after="80" w:line="276"/>
      </w:pPr>
      <w:r>
        <w:rPr>
          <w:rFonts w:ascii="Arial" w:cs="Arial" w:eastAsia="Arial" w:hAnsi="Arial"/>
          <w:sz w:val="22"/>
          <w:szCs w:val="22"/>
        </w:rPr>
        <w:t xml:space="preserve">Detection is defined as the analytical result equaling or exceeding the compound-specific Minimum Reporting Level (MRL). Non-detects are coded as 0 for binary analyses and as the MRL for concentration analyses (left-censored at MRL).</w:t>
      </w:r>
    </w:p>
    <w:p>
      <w:pPr>
        <w:pStyle w:val="ListParagraph"/>
        <w:numPr>
          <w:ilvl w:val="0"/>
          <w:numId w:val="4"/>
        </w:numPr>
        <w:spacing w:after="80" w:line="276"/>
      </w:pPr>
      <w:r>
        <w:rPr>
          <w:rFonts w:ascii="Arial" w:cs="Arial" w:eastAsia="Arial" w:hAnsi="Arial"/>
          <w:sz w:val="22"/>
          <w:szCs w:val="22"/>
        </w:rPr>
        <w:t xml:space="preserve">System-level aggregation uses the maximum concentration across all sampling events. This represents a worst-case scenario and is appropriate for screening-level assessment but does not reflect typical exposure.</w:t>
      </w:r>
    </w:p>
    <w:p>
      <w:pPr>
        <w:pStyle w:val="ListParagraph"/>
        <w:numPr>
          <w:ilvl w:val="0"/>
          <w:numId w:val="4"/>
        </w:numPr>
        <w:spacing w:after="80" w:line="276"/>
      </w:pPr>
      <w:r>
        <w:rPr>
          <w:rFonts w:ascii="Arial" w:cs="Arial" w:eastAsia="Arial" w:hAnsi="Arial"/>
          <w:sz w:val="22"/>
          <w:szCs w:val="22"/>
        </w:rPr>
        <w:t xml:space="preserve">The 29 PFAS analytes monitored under UCMR 5 represent a subset of the thousands of known PFAS compounds. Detection rates reflect only monitored compounds and underestimate total PFAS occurrence.</w:t>
      </w:r>
    </w:p>
    <w:p>
      <w:pPr>
        <w:pStyle w:val="ListParagraph"/>
        <w:numPr>
          <w:ilvl w:val="0"/>
          <w:numId w:val="4"/>
        </w:numPr>
        <w:spacing w:after="80" w:line="276"/>
      </w:pPr>
      <w:r>
        <w:rPr>
          <w:rFonts w:ascii="Arial" w:cs="Arial" w:eastAsia="Arial" w:hAnsi="Arial"/>
          <w:sz w:val="22"/>
          <w:szCs w:val="22"/>
        </w:rPr>
        <w:t xml:space="preserve">UCMR 5 monitors only systems serving more than 3,300 people plus a representative sample of smaller systems. Results may not generalize to the smallest community water systems or private wells.</w:t>
      </w:r>
    </w:p>
    <w:p>
      <w:pPr>
        <w:pStyle w:val="Heading2"/>
        <w:spacing w:after="120" w:before="240"/>
      </w:pPr>
      <w:r>
        <w:rPr>
          <w:rFonts w:ascii="Arial" w:cs="Arial" w:eastAsia="Arial" w:hAnsi="Arial"/>
        </w:rPr>
        <w:t xml:space="preserve">7.2 Statistical Assumptions</w:t>
      </w:r>
    </w:p>
    <w:p>
      <w:pPr>
        <w:pStyle w:val="ListParagraph"/>
        <w:numPr>
          <w:ilvl w:val="0"/>
          <w:numId w:val="5"/>
        </w:numPr>
        <w:spacing w:after="80" w:line="276"/>
      </w:pPr>
      <w:r>
        <w:rPr>
          <w:rFonts w:ascii="Arial" w:cs="Arial" w:eastAsia="Arial" w:hAnsi="Arial"/>
          <w:sz w:val="22"/>
          <w:szCs w:val="22"/>
        </w:rPr>
        <w:t xml:space="preserve">Logistic regression assumes a linear relationship between log-odds and continuous predictors (linearity in the logit). This is approximated by log-transforming right-skewed predictors (population, distance metrics).</w:t>
      </w:r>
    </w:p>
    <w:p>
      <w:pPr>
        <w:pStyle w:val="ListParagraph"/>
        <w:numPr>
          <w:ilvl w:val="0"/>
          <w:numId w:val="5"/>
        </w:numPr>
        <w:spacing w:after="80" w:line="276"/>
      </w:pPr>
      <w:r>
        <w:rPr>
          <w:rFonts w:ascii="Arial" w:cs="Arial" w:eastAsia="Arial" w:hAnsi="Arial"/>
          <w:sz w:val="22"/>
          <w:szCs w:val="22"/>
        </w:rPr>
        <w:t xml:space="preserve">Standard logistic regression assumes independence of observations. This assumption is violated by within-state clustering, which is tested via GEE sensitivity analysis.</w:t>
      </w:r>
    </w:p>
    <w:p>
      <w:pPr>
        <w:pStyle w:val="ListParagraph"/>
        <w:numPr>
          <w:ilvl w:val="0"/>
          <w:numId w:val="5"/>
        </w:numPr>
        <w:spacing w:after="80" w:line="276"/>
      </w:pPr>
      <w:r>
        <w:rPr>
          <w:rFonts w:ascii="Arial" w:cs="Arial" w:eastAsia="Arial" w:hAnsi="Arial"/>
          <w:sz w:val="22"/>
          <w:szCs w:val="22"/>
        </w:rPr>
        <w:t xml:space="preserve">The IPW analysis assumes that the propensity model correctly specifies the selection mechanism (no unmeasured confounders of data availability).</w:t>
      </w:r>
    </w:p>
    <w:p>
      <w:pPr>
        <w:pStyle w:val="ListParagraph"/>
        <w:numPr>
          <w:ilvl w:val="0"/>
          <w:numId w:val="5"/>
        </w:numPr>
        <w:spacing w:after="80" w:line="276"/>
      </w:pPr>
      <w:r>
        <w:rPr>
          <w:rFonts w:ascii="Arial" w:cs="Arial" w:eastAsia="Arial" w:hAnsi="Arial"/>
          <w:sz w:val="22"/>
          <w:szCs w:val="22"/>
        </w:rPr>
        <w:t xml:space="preserve">Wilson confidence intervals assume binomial sampling. This is appropriate for proportions but ignores potential non-independence between systems within the same geographic area.</w:t>
      </w:r>
    </w:p>
    <w:p>
      <w:pPr>
        <w:pStyle w:val="ListParagraph"/>
        <w:numPr>
          <w:ilvl w:val="0"/>
          <w:numId w:val="5"/>
        </w:numPr>
        <w:spacing w:after="80" w:line="276"/>
      </w:pPr>
      <w:r>
        <w:rPr>
          <w:rFonts w:ascii="Arial" w:cs="Arial" w:eastAsia="Arial" w:hAnsi="Arial"/>
          <w:sz w:val="22"/>
          <w:szCs w:val="22"/>
        </w:rPr>
        <w:t xml:space="preserve">The Monte Carlo HI sensitivity analysis assumes uniform perturbation of HBWCs. In reality, toxicological uncertainty may be asymmetric or compound-specific.</w:t>
      </w:r>
    </w:p>
    <w:p>
      <w:pPr>
        <w:pStyle w:val="Heading2"/>
        <w:spacing w:after="120" w:before="240"/>
      </w:pPr>
      <w:r>
        <w:rPr>
          <w:rFonts w:ascii="Arial" w:cs="Arial" w:eastAsia="Arial" w:hAnsi="Arial"/>
        </w:rPr>
        <w:t xml:space="preserve">7.3 Ecological Fallacy</w:t>
      </w:r>
    </w:p>
    <w:p>
      <w:pPr>
        <w:spacing w:after="120" w:before="0" w:line="276"/>
      </w:pPr>
      <w:r>
        <w:rPr>
          <w:rFonts w:ascii="Arial" w:cs="Arial" w:eastAsia="Arial" w:hAnsi="Arial"/>
          <w:sz w:val="22"/>
          <w:szCs w:val="22"/>
        </w:rPr>
        <w:t xml:space="preserve">All analyses are conducted at the system level, not the individual level. System-level detection does not imply that all served customers are exposed to PFAS. Large systems with multiple entry points may have contamination at only one source. Population exposure estimates therefore represent upper bounds on the population potentially affected, not confirmed individual exposures.</w:t>
      </w:r>
    </w:p>
    <w:p>
      <w:r>
        <w:br w:type="page"/>
      </w:r>
    </w:p>
    <w:p>
      <w:pPr>
        <w:pStyle w:val="Heading1"/>
        <w:spacing w:after="120" w:before="360"/>
      </w:pPr>
      <w:r>
        <w:rPr>
          <w:rFonts w:ascii="Arial" w:cs="Arial" w:eastAsia="Arial" w:hAnsi="Arial"/>
        </w:rPr>
        <w:t xml:space="preserve">8. Software Requirements and Dependencies</w:t>
      </w:r>
    </w:p>
    <w:p>
      <w:pPr>
        <w:pStyle w:val="Heading2"/>
        <w:spacing w:after="120" w:before="240"/>
      </w:pPr>
      <w:r>
        <w:rPr>
          <w:rFonts w:ascii="Arial" w:cs="Arial" w:eastAsia="Arial" w:hAnsi="Arial"/>
        </w:rPr>
        <w:t xml:space="preserve">8.1 Python Environment</w:t>
      </w:r>
    </w:p>
    <w:p>
      <w:pPr>
        <w:spacing w:after="120" w:line="276"/>
      </w:pPr>
      <w:r>
        <w:rPr>
          <w:rFonts w:ascii="Arial" w:cs="Arial" w:eastAsia="Arial" w:hAnsi="Arial"/>
          <w:b/>
          <w:bCs/>
          <w:sz w:val="22"/>
          <w:szCs w:val="22"/>
        </w:rPr>
        <w:t xml:space="preserve">Python Version: </w:t>
      </w:r>
      <w:r>
        <w:rPr>
          <w:rFonts w:ascii="Arial" w:cs="Arial" w:eastAsia="Arial" w:hAnsi="Arial"/>
          <w:sz w:val="22"/>
          <w:szCs w:val="22"/>
        </w:rPr>
        <w:t xml:space="preserve">3.9 or higher</w:t>
      </w:r>
    </w:p>
    <w:p>
      <w:pPr>
        <w:spacing w:after="120" w:before="0" w:line="276"/>
      </w:pPr>
      <w:r>
        <w:rPr>
          <w:rFonts w:ascii="Arial" w:cs="Arial" w:eastAsia="Arial" w:hAnsi="Arial"/>
          <w:sz w:val="22"/>
          <w:szCs w:val="22"/>
        </w:rPr>
        <w:t xml:space="preserve">The following packages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Scripts Using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pandas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manipulation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Numerical computation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Statistical tests (chi-square, Mann-Whitney, Wilson CI)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01, 02, 04, 05, 06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statsmodels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Logistic regression, GEE, VIF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05, 07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scikit-learn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ROC/AUC, calibration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matplotlib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 generation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figure 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seaborn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Statistical plotting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figure 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geopandas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Choropleth map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Figure_2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Correspondence Analysis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pymannkendall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Mann-Kendall trend test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r>
    </w:tbl>
    <w:p>
      <w:pPr>
        <w:pStyle w:val="Heading2"/>
        <w:spacing w:after="120" w:before="240"/>
      </w:pPr>
      <w:r>
        <w:rPr>
          <w:rFonts w:ascii="Arial" w:cs="Arial" w:eastAsia="Arial" w:hAnsi="Arial"/>
        </w:rPr>
        <w:t xml:space="preserve">8.2 Installation</w:t>
      </w:r>
    </w:p>
    <w:p>
      <w:pPr>
        <w:shd w:fill="F5F5F5" w:val="clear"/>
        <w:spacing w:after="120"/>
        <w:ind w:left="360"/>
      </w:pPr>
      <w:r>
        <w:rPr>
          <w:rFonts w:ascii="Courier New" w:cs="Courier New" w:eastAsia="Courier New" w:hAnsi="Courier New"/>
          <w:sz w:val="18"/>
          <w:szCs w:val="18"/>
        </w:rPr>
        <w:t xml:space="preserve">pip install pandas numpy scipy statsmodels scikit-learn matplotlib seaborn geopandas prince pymannkendall</w:t>
      </w:r>
    </w:p>
    <w:p>
      <w:r>
        <w:br w:type="page"/>
      </w:r>
    </w:p>
    <w:p>
      <w:pPr>
        <w:pStyle w:val="Heading1"/>
        <w:spacing w:after="120" w:before="360"/>
      </w:pPr>
      <w:r>
        <w:rPr>
          <w:rFonts w:ascii="Arial" w:cs="Arial" w:eastAsia="Arial" w:hAnsi="Arial"/>
        </w:rPr>
        <w:t xml:space="preserve">9. Step-by-Step Reproduction Instructions</w:t>
      </w:r>
    </w:p>
    <w:p>
      <w:pPr>
        <w:spacing w:after="120" w:before="0" w:line="276"/>
      </w:pPr>
      <w:r>
        <w:rPr>
          <w:rFonts w:ascii="Arial" w:cs="Arial" w:eastAsia="Arial" w:hAnsi="Arial"/>
          <w:sz w:val="22"/>
          <w:szCs w:val="22"/>
        </w:rPr>
        <w:t xml:space="preserve">To reproduce all results from raw data to final figures:</w:t>
      </w:r>
    </w:p>
    <w:p>
      <w:pPr>
        <w:pStyle w:val="ListParagraph"/>
        <w:numPr>
          <w:ilvl w:val="0"/>
          <w:numId w:val="6"/>
        </w:numPr>
        <w:spacing w:after="80" w:line="276"/>
      </w:pPr>
      <w:r>
        <w:rPr>
          <w:rFonts w:ascii="Arial" w:cs="Arial" w:eastAsia="Arial" w:hAnsi="Arial"/>
          <w:sz w:val="22"/>
          <w:szCs w:val="22"/>
        </w:rPr>
        <w:t xml:space="preserve">Install Python 3.9+ and all required packages (Section 8.2).</w:t>
      </w:r>
    </w:p>
    <w:p>
      <w:pPr>
        <w:pStyle w:val="ListParagraph"/>
        <w:numPr>
          <w:ilvl w:val="0"/>
          <w:numId w:val="6"/>
        </w:numPr>
        <w:spacing w:after="80" w:line="276"/>
      </w:pPr>
      <w:r>
        <w:rPr>
          <w:rFonts w:ascii="Arial" w:cs="Arial" w:eastAsia="Arial" w:hAnsi="Arial"/>
          <w:sz w:val="22"/>
          <w:szCs w:val="22"/>
        </w:rPr>
        <w:t xml:space="preserve">Verify that all raw data files are present in 02_Data/01_Raw/ subdirectories (Section 3).</w:t>
      </w:r>
    </w:p>
    <w:p>
      <w:pPr>
        <w:pStyle w:val="ListParagraph"/>
        <w:numPr>
          <w:ilvl w:val="0"/>
          <w:numId w:val="6"/>
        </w:numPr>
        <w:spacing w:after="80" w:line="276"/>
      </w:pPr>
      <w:r>
        <w:rPr>
          <w:rFonts w:ascii="Arial" w:cs="Arial" w:eastAsia="Arial" w:hAnsi="Arial"/>
          <w:sz w:val="22"/>
          <w:szCs w:val="22"/>
        </w:rPr>
        <w:t xml:space="preserve">Run the 7 analysis scripts in order from the project root directory:</w:t>
      </w:r>
    </w:p>
    <w:p>
      <w:pPr>
        <w:shd w:fill="F5F5F5" w:val="clear"/>
        <w:spacing w:after="120"/>
        <w:ind w:left="360"/>
      </w:pPr>
      <w:r>
        <w:rPr>
          <w:rFonts w:ascii="Courier New" w:cs="Courier New" w:eastAsia="Courier New" w:hAnsi="Courier New"/>
          <w:sz w:val="18"/>
          <w:szCs w:val="18"/>
        </w:rPr>
        <w:t xml:space="preserve">python 03_Scripts/01_Analysis/01_core_statistics.py</w:t>
      </w:r>
    </w:p>
    <w:p>
      <w:pPr>
        <w:shd w:fill="F5F5F5" w:val="clear"/>
        <w:spacing w:after="120"/>
        <w:ind w:left="360"/>
      </w:pPr>
      <w:r>
        <w:rPr>
          <w:rFonts w:ascii="Courier New" w:cs="Courier New" w:eastAsia="Courier New" w:hAnsi="Courier New"/>
          <w:sz w:val="18"/>
          <w:szCs w:val="18"/>
        </w:rPr>
        <w:t xml:space="preserve">python 03_Scripts/01_Analysis/02_temporal_analysis.py</w:t>
      </w:r>
    </w:p>
    <w:p>
      <w:pPr>
        <w:shd w:fill="F5F5F5" w:val="clear"/>
        <w:spacing w:after="120"/>
        <w:ind w:left="360"/>
      </w:pPr>
      <w:r>
        <w:rPr>
          <w:rFonts w:ascii="Courier New" w:cs="Courier New" w:eastAsia="Courier New" w:hAnsi="Courier New"/>
          <w:sz w:val="18"/>
          <w:szCs w:val="18"/>
        </w:rPr>
        <w:t xml:space="preserve">python 03_Scripts/01_Analysis/03_cooccurrence_mca.py</w:t>
      </w:r>
    </w:p>
    <w:p>
      <w:pPr>
        <w:shd w:fill="F5F5F5" w:val="clear"/>
        <w:spacing w:after="120"/>
        <w:ind w:left="360"/>
      </w:pPr>
      <w:r>
        <w:rPr>
          <w:rFonts w:ascii="Courier New" w:cs="Courier New" w:eastAsia="Courier New" w:hAnsi="Courier New"/>
          <w:sz w:val="18"/>
          <w:szCs w:val="18"/>
        </w:rPr>
        <w:t xml:space="preserve">python 03_Scripts/01_Analysis/04_ucmr3_comparison.py</w:t>
      </w:r>
    </w:p>
    <w:p>
      <w:pPr>
        <w:shd w:fill="F5F5F5" w:val="clear"/>
        <w:spacing w:after="120"/>
        <w:ind w:left="360"/>
      </w:pPr>
      <w:r>
        <w:rPr>
          <w:rFonts w:ascii="Courier New" w:cs="Courier New" w:eastAsia="Courier New" w:hAnsi="Courier New"/>
          <w:sz w:val="18"/>
          <w:szCs w:val="18"/>
        </w:rPr>
        <w:t xml:space="preserve">python 03_Scripts/01_Analysis/05_regression.py</w:t>
      </w:r>
    </w:p>
    <w:p>
      <w:pPr>
        <w:shd w:fill="F5F5F5" w:val="clear"/>
        <w:spacing w:after="120"/>
        <w:ind w:left="360"/>
      </w:pPr>
      <w:r>
        <w:rPr>
          <w:rFonts w:ascii="Courier New" w:cs="Courier New" w:eastAsia="Courier New" w:hAnsi="Courier New"/>
          <w:sz w:val="18"/>
          <w:szCs w:val="18"/>
        </w:rPr>
        <w:t xml:space="preserve">python 03_Scripts/01_Analysis/06_raa_population.py</w:t>
      </w:r>
    </w:p>
    <w:p>
      <w:pPr>
        <w:shd w:fill="F5F5F5" w:val="clear"/>
        <w:spacing w:after="120"/>
        <w:ind w:left="360"/>
      </w:pPr>
      <w:r>
        <w:rPr>
          <w:rFonts w:ascii="Courier New" w:cs="Courier New" w:eastAsia="Courier New" w:hAnsi="Courier New"/>
          <w:sz w:val="18"/>
          <w:szCs w:val="18"/>
        </w:rPr>
        <w:t xml:space="preserve">python 03_Scripts/01_Analysis/07_ipw_sensitivity.py</w:t>
      </w:r>
    </w:p>
    <w:p>
      <w:pPr>
        <w:pStyle w:val="ListParagraph"/>
        <w:numPr>
          <w:ilvl w:val="0"/>
          <w:numId w:val="7"/>
        </w:numPr>
        <w:spacing w:after="80" w:line="276"/>
      </w:pPr>
      <w:r>
        <w:rPr>
          <w:rFonts w:ascii="Arial" w:cs="Arial" w:eastAsia="Arial" w:hAnsi="Arial"/>
          <w:sz w:val="22"/>
          <w:szCs w:val="22"/>
        </w:rPr>
        <w:t xml:space="preserve">Verify that 88 output CSVs have been generated in 02_Data/02_Output/.</w:t>
      </w:r>
    </w:p>
    <w:p>
      <w:pPr>
        <w:pStyle w:val="ListParagraph"/>
        <w:numPr>
          <w:ilvl w:val="0"/>
          <w:numId w:val="8"/>
        </w:numPr>
        <w:spacing w:after="80" w:line="276"/>
      </w:pPr>
      <w:r>
        <w:rPr>
          <w:rFonts w:ascii="Arial" w:cs="Arial" w:eastAsia="Arial" w:hAnsi="Arial"/>
          <w:sz w:val="22"/>
          <w:szCs w:val="22"/>
        </w:rPr>
        <w:t xml:space="preserve">Run all 18 figure scripts from 03_Scripts/02_Figures/ (these can be run in any order):</w:t>
      </w:r>
    </w:p>
    <w:p>
      <w:pPr>
        <w:shd w:fill="F5F5F5" w:val="clear"/>
        <w:spacing w:after="120"/>
        <w:ind w:left="360"/>
      </w:pPr>
      <w:r>
        <w:rPr>
          <w:rFonts w:ascii="Courier New" w:cs="Courier New" w:eastAsia="Courier New" w:hAnsi="Courier New"/>
          <w:sz w:val="18"/>
          <w:szCs w:val="18"/>
        </w:rPr>
        <w:t xml:space="preserve">for script in 03_Scripts/02_Figures/Figure_*.py; do python "$script"; done</w:t>
      </w:r>
    </w:p>
    <w:p>
      <w:pPr>
        <w:pStyle w:val="ListParagraph"/>
        <w:numPr>
          <w:ilvl w:val="0"/>
          <w:numId w:val="9"/>
        </w:numPr>
        <w:spacing w:after="80" w:line="276"/>
      </w:pPr>
      <w:r>
        <w:rPr>
          <w:rFonts w:ascii="Arial" w:cs="Arial" w:eastAsia="Arial" w:hAnsi="Arial"/>
          <w:sz w:val="22"/>
          <w:szCs w:val="22"/>
        </w:rPr>
        <w:t xml:space="preserve">Verify that all figures have been generated in 04_Figures/01_Main/ (6 figures) and 04_Figures/02_Supplementary/ (12 figures) in both PDF and PNG formats.</w:t>
      </w:r>
    </w:p>
    <w:p>
      <w:pPr>
        <w:spacing w:after="120" w:before="200" w:line="276"/>
      </w:pPr>
      <w:r>
        <w:rPr>
          <w:rFonts w:ascii="Arial" w:cs="Arial" w:eastAsia="Arial" w:hAnsi="Arial"/>
          <w:sz w:val="22"/>
          <w:szCs w:val="22"/>
        </w:rPr>
        <w:t xml:space="preserve">Expected total runtime: approximately 15–30 minutes on a modern machine, with the regression and IPW scripts taking the longest due to bootstrap and Monte Carlo simulations.</w:t>
      </w:r>
    </w:p>
    <w:p>
      <w:r>
        <w:br w:type="page"/>
      </w:r>
    </w:p>
    <w:p>
      <w:pPr>
        <w:pStyle w:val="Heading1"/>
        <w:spacing w:after="120" w:before="360"/>
      </w:pPr>
      <w:r>
        <w:rPr>
          <w:rFonts w:ascii="Arial" w:cs="Arial" w:eastAsia="Arial" w:hAnsi="Arial"/>
        </w:rPr>
        <w:t xml:space="preserve">10. Complete Output File Inventory</w:t>
      </w:r>
    </w:p>
    <w:p>
      <w:pPr>
        <w:spacing w:after="120" w:before="0" w:line="276"/>
      </w:pPr>
      <w:r>
        <w:rPr>
          <w:rFonts w:ascii="Arial" w:cs="Arial" w:eastAsia="Arial" w:hAnsi="Arial"/>
          <w:sz w:val="22"/>
          <w:szCs w:val="22"/>
        </w:rPr>
        <w:t xml:space="preserve">The 88 output CSV files in 02_Data/02_Output/ are organized below by source script. Files prefixed with "VERIFIED_" were cross-checked against manuscript statistics. Files prefixed with "SI_Table_" map directly to Supporting Information tables.</w:t>
      </w:r>
    </w:p>
    <w:p>
      <w:pPr>
        <w:pStyle w:val="Heading2"/>
        <w:spacing w:after="120" w:before="240"/>
      </w:pPr>
      <w:r>
        <w:rPr>
          <w:rFonts w:ascii="Arial" w:cs="Arial" w:eastAsia="Arial" w:hAnsi="Arial"/>
        </w:rPr>
        <w:t xml:space="preserve">10.1 From 01_core_statistics.py (16 files)</w:t>
      </w:r>
    </w:p>
    <w:p>
      <w:pPr>
        <w:pStyle w:val="ListParagraph"/>
        <w:numPr>
          <w:ilvl w:val="0"/>
          <w:numId w:val="3"/>
        </w:numPr>
        <w:spacing w:after="30" w:line="240"/>
      </w:pPr>
      <w:r>
        <w:rPr>
          <w:rFonts w:ascii="Arial" w:cs="Arial" w:eastAsia="Arial" w:hAnsi="Arial"/>
          <w:sz w:val="20"/>
          <w:szCs w:val="20"/>
        </w:rPr>
        <w:t xml:space="preserve">core_statistics_enhanced.csv, core_statistics_table1_enhanced.csv</w:t>
      </w:r>
    </w:p>
    <w:p>
      <w:pPr>
        <w:pStyle w:val="ListParagraph"/>
        <w:numPr>
          <w:ilvl w:val="0"/>
          <w:numId w:val="3"/>
        </w:numPr>
        <w:spacing w:after="30" w:line="240"/>
      </w:pPr>
      <w:r>
        <w:rPr>
          <w:rFonts w:ascii="Arial" w:cs="Arial" w:eastAsia="Arial" w:hAnsi="Arial"/>
          <w:sz w:val="20"/>
          <w:szCs w:val="20"/>
        </w:rPr>
        <w:t xml:space="preserve">core_statistics_geographic_CORRECTED.csv, core_statistics_geographic_enhanced.csv</w:t>
      </w:r>
    </w:p>
    <w:p>
      <w:pPr>
        <w:pStyle w:val="ListParagraph"/>
        <w:numPr>
          <w:ilvl w:val="0"/>
          <w:numId w:val="3"/>
        </w:numPr>
        <w:spacing w:after="30" w:line="240"/>
      </w:pPr>
      <w:r>
        <w:rPr>
          <w:rFonts w:ascii="Arial" w:cs="Arial" w:eastAsia="Arial" w:hAnsi="Arial"/>
          <w:sz w:val="20"/>
          <w:szCs w:val="20"/>
        </w:rPr>
        <w:t xml:space="preserve">core_statistics_mcl_enhanced.csv, core_statistics_hi_enhanced.csv</w:t>
      </w:r>
    </w:p>
    <w:p>
      <w:pPr>
        <w:pStyle w:val="ListParagraph"/>
        <w:numPr>
          <w:ilvl w:val="0"/>
          <w:numId w:val="3"/>
        </w:numPr>
        <w:spacing w:after="30" w:line="240"/>
      </w:pPr>
      <w:r>
        <w:rPr>
          <w:rFonts w:ascii="Arial" w:cs="Arial" w:eastAsia="Arial" w:hAnsi="Arial"/>
          <w:sz w:val="20"/>
          <w:szCs w:val="20"/>
        </w:rPr>
        <w:t xml:space="preserve">core_statistics_system_size_enhanced.csv, core_statistics_source_water_enhanced.csv</w:t>
      </w:r>
    </w:p>
    <w:p>
      <w:pPr>
        <w:pStyle w:val="ListParagraph"/>
        <w:numPr>
          <w:ilvl w:val="0"/>
          <w:numId w:val="3"/>
        </w:numPr>
        <w:spacing w:after="30" w:line="240"/>
      </w:pPr>
      <w:r>
        <w:rPr>
          <w:rFonts w:ascii="Arial" w:cs="Arial" w:eastAsia="Arial" w:hAnsi="Arial"/>
          <w:sz w:val="20"/>
          <w:szCs w:val="20"/>
        </w:rPr>
        <w:t xml:space="preserve">core_statistics_cramers_v_bootstrap.csv, concentration_distribution_summary.csv</w:t>
      </w:r>
    </w:p>
    <w:p>
      <w:pPr>
        <w:pStyle w:val="ListParagraph"/>
        <w:numPr>
          <w:ilvl w:val="0"/>
          <w:numId w:val="3"/>
        </w:numPr>
        <w:spacing w:after="30" w:line="240"/>
      </w:pPr>
      <w:r>
        <w:rPr>
          <w:rFonts w:ascii="Arial" w:cs="Arial" w:eastAsia="Arial" w:hAnsi="Arial"/>
          <w:sz w:val="20"/>
          <w:szCs w:val="20"/>
        </w:rPr>
        <w:t xml:space="preserve">geographic_analysis_enhanced.csv, system_size_enhanced.csv, source_water_analysis_enhanced.csv</w:t>
      </w:r>
    </w:p>
    <w:p>
      <w:pPr>
        <w:pStyle w:val="ListParagraph"/>
        <w:numPr>
          <w:ilvl w:val="0"/>
          <w:numId w:val="3"/>
        </w:numPr>
        <w:spacing w:after="30" w:line="240"/>
      </w:pPr>
      <w:r>
        <w:rPr>
          <w:rFonts w:ascii="Arial" w:cs="Arial" w:eastAsia="Arial" w:hAnsi="Arial"/>
          <w:sz w:val="20"/>
          <w:szCs w:val="20"/>
        </w:rPr>
        <w:t xml:space="preserve">mcl_exceedance_enhanced.csv, hbwc_exceedance_enhanced.csv</w:t>
      </w:r>
    </w:p>
    <w:p>
      <w:pPr>
        <w:pStyle w:val="ListParagraph"/>
        <w:numPr>
          <w:ilvl w:val="0"/>
          <w:numId w:val="3"/>
        </w:numPr>
        <w:spacing w:after="80" w:line="240"/>
      </w:pPr>
      <w:r>
        <w:rPr>
          <w:rFonts w:ascii="Arial" w:cs="Arial" w:eastAsia="Arial" w:hAnsi="Arial"/>
          <w:sz w:val="20"/>
          <w:szCs w:val="20"/>
        </w:rPr>
        <w:t xml:space="preserve">merged_pws_dataset_jan2026.csv (master merged dataset)</w:t>
      </w:r>
    </w:p>
    <w:p>
      <w:pPr>
        <w:pStyle w:val="Heading2"/>
        <w:spacing w:after="120" w:before="240"/>
      </w:pPr>
      <w:r>
        <w:rPr>
          <w:rFonts w:ascii="Arial" w:cs="Arial" w:eastAsia="Arial" w:hAnsi="Arial"/>
        </w:rPr>
        <w:t xml:space="preserve">10.2 From 02_temporal_analysis.py (14 files)</w:t>
      </w:r>
    </w:p>
    <w:p>
      <w:pPr>
        <w:pStyle w:val="ListParagraph"/>
        <w:numPr>
          <w:ilvl w:val="0"/>
          <w:numId w:val="3"/>
        </w:numPr>
        <w:spacing w:after="30" w:line="240"/>
      </w:pPr>
      <w:r>
        <w:rPr>
          <w:rFonts w:ascii="Arial" w:cs="Arial" w:eastAsia="Arial" w:hAnsi="Arial"/>
          <w:sz w:val="20"/>
          <w:szCs w:val="20"/>
        </w:rPr>
        <w:t xml:space="preserve">temporal_quarterly_rates_enhanced.csv, temporal_quarterly_samples.csv</w:t>
      </w:r>
    </w:p>
    <w:p>
      <w:pPr>
        <w:pStyle w:val="ListParagraph"/>
        <w:numPr>
          <w:ilvl w:val="0"/>
          <w:numId w:val="3"/>
        </w:numPr>
        <w:spacing w:after="30" w:line="240"/>
      </w:pPr>
      <w:r>
        <w:rPr>
          <w:rFonts w:ascii="Arial" w:cs="Arial" w:eastAsia="Arial" w:hAnsi="Arial"/>
          <w:sz w:val="20"/>
          <w:szCs w:val="20"/>
        </w:rPr>
        <w:t xml:space="preserve">temporal_mannkendall_enhanced.csv, temporal_mann_kendall_jan2026.csv</w:t>
      </w:r>
    </w:p>
    <w:p>
      <w:pPr>
        <w:pStyle w:val="ListParagraph"/>
        <w:numPr>
          <w:ilvl w:val="0"/>
          <w:numId w:val="3"/>
        </w:numPr>
        <w:spacing w:after="30" w:line="240"/>
      </w:pPr>
      <w:r>
        <w:rPr>
          <w:rFonts w:ascii="Arial" w:cs="Arial" w:eastAsia="Arial" w:hAnsi="Arial"/>
          <w:sz w:val="20"/>
          <w:szCs w:val="20"/>
        </w:rPr>
        <w:t xml:space="preserve">temporal_cochran_armitage_enhanced.csv, temporal_detection_by_cohort.csv</w:t>
      </w:r>
    </w:p>
    <w:p>
      <w:pPr>
        <w:pStyle w:val="ListParagraph"/>
        <w:numPr>
          <w:ilvl w:val="0"/>
          <w:numId w:val="3"/>
        </w:numPr>
        <w:spacing w:after="30" w:line="240"/>
      </w:pPr>
      <w:r>
        <w:rPr>
          <w:rFonts w:ascii="Arial" w:cs="Arial" w:eastAsia="Arial" w:hAnsi="Arial"/>
          <w:sz w:val="20"/>
          <w:szCs w:val="20"/>
        </w:rPr>
        <w:t xml:space="preserve">temporal_pre_post_npdwr.csv, temporal_pre_post_npdwr_enhanced.csv</w:t>
      </w:r>
    </w:p>
    <w:p>
      <w:pPr>
        <w:pStyle w:val="ListParagraph"/>
        <w:numPr>
          <w:ilvl w:val="0"/>
          <w:numId w:val="3"/>
        </w:numPr>
        <w:spacing w:after="30" w:line="240"/>
      </w:pPr>
      <w:r>
        <w:rPr>
          <w:rFonts w:ascii="Arial" w:cs="Arial" w:eastAsia="Arial" w:hAnsi="Arial"/>
          <w:sz w:val="20"/>
          <w:szCs w:val="20"/>
        </w:rPr>
        <w:t xml:space="preserve">temporal_seasonal.csv, temporal_seasonal_kruskal_wallis.csv</w:t>
      </w:r>
    </w:p>
    <w:p>
      <w:pPr>
        <w:pStyle w:val="ListParagraph"/>
        <w:numPr>
          <w:ilvl w:val="0"/>
          <w:numId w:val="3"/>
        </w:numPr>
        <w:spacing w:after="80" w:line="240"/>
      </w:pPr>
      <w:r>
        <w:rPr>
          <w:rFonts w:ascii="Arial" w:cs="Arial" w:eastAsia="Arial" w:hAnsi="Arial"/>
          <w:sz w:val="20"/>
          <w:szCs w:val="20"/>
        </w:rPr>
        <w:t xml:space="preserve">temporal_mcl_quarterly.csv, temporal_concentration_trends.csv, temporal_running_average.csv, temporal_detection_by_quarter.csv</w:t>
      </w:r>
    </w:p>
    <w:p>
      <w:pPr>
        <w:pStyle w:val="Heading2"/>
        <w:spacing w:after="120" w:before="240"/>
      </w:pPr>
      <w:r>
        <w:rPr>
          <w:rFonts w:ascii="Arial" w:cs="Arial" w:eastAsia="Arial" w:hAnsi="Arial"/>
        </w:rPr>
        <w:t xml:space="preserve">10.3 From 03_cooccurrence_mca.py (15 files)</w:t>
      </w:r>
    </w:p>
    <w:p>
      <w:pPr>
        <w:pStyle w:val="ListParagraph"/>
        <w:numPr>
          <w:ilvl w:val="0"/>
          <w:numId w:val="3"/>
        </w:numPr>
        <w:spacing w:after="30" w:line="240"/>
      </w:pPr>
      <w:r>
        <w:rPr>
          <w:rFonts w:ascii="Arial" w:cs="Arial" w:eastAsia="Arial" w:hAnsi="Arial"/>
          <w:sz w:val="20"/>
          <w:szCs w:val="20"/>
        </w:rPr>
        <w:t xml:space="preserve">cooccurrence_matrix.csv, cooccurrence_top_pairs_all.csv</w:t>
      </w:r>
    </w:p>
    <w:p>
      <w:pPr>
        <w:pStyle w:val="ListParagraph"/>
        <w:numPr>
          <w:ilvl w:val="0"/>
          <w:numId w:val="3"/>
        </w:numPr>
        <w:spacing w:after="30" w:line="240"/>
      </w:pPr>
      <w:r>
        <w:rPr>
          <w:rFonts w:ascii="Arial" w:cs="Arial" w:eastAsia="Arial" w:hAnsi="Arial"/>
          <w:sz w:val="20"/>
          <w:szCs w:val="20"/>
        </w:rPr>
        <w:t xml:space="preserve">mca_column_coordinates.csv, mca_row_coordinates.csv, mca_eigenvalues_inertia.csv, mca_bootstrap_ci.csv</w:t>
      </w:r>
    </w:p>
    <w:p>
      <w:pPr>
        <w:pStyle w:val="ListParagraph"/>
        <w:numPr>
          <w:ilvl w:val="0"/>
          <w:numId w:val="3"/>
        </w:numPr>
        <w:spacing w:after="80" w:line="240"/>
      </w:pPr>
      <w:r>
        <w:rPr>
          <w:rFonts w:ascii="Arial" w:cs="Arial" w:eastAsia="Arial" w:hAnsi="Arial"/>
          <w:sz w:val="20"/>
          <w:szCs w:val="20"/>
        </w:rPr>
        <w:t xml:space="preserve">cooccurrence_cluster_structure.csv, cooccurrence_regulated_pairwise.csv, cooccurrence_profiles_enhanced.csv, and 6 additional co-occurrence CSVs</w:t>
      </w:r>
    </w:p>
    <w:p>
      <w:pPr>
        <w:pStyle w:val="Heading2"/>
        <w:spacing w:after="120" w:before="240"/>
      </w:pPr>
      <w:r>
        <w:rPr>
          <w:rFonts w:ascii="Arial" w:cs="Arial" w:eastAsia="Arial" w:hAnsi="Arial"/>
        </w:rPr>
        <w:t xml:space="preserve">10.4 From 04_ucmr3_comparison.py (5 files)</w:t>
      </w:r>
    </w:p>
    <w:p>
      <w:pPr>
        <w:pStyle w:val="ListParagraph"/>
        <w:numPr>
          <w:ilvl w:val="0"/>
          <w:numId w:val="3"/>
        </w:numPr>
        <w:spacing w:after="80" w:line="240"/>
      </w:pPr>
      <w:r>
        <w:rPr>
          <w:rFonts w:ascii="Arial" w:cs="Arial" w:eastAsia="Arial" w:hAnsi="Arial"/>
          <w:sz w:val="20"/>
          <w:szCs w:val="20"/>
        </w:rPr>
        <w:t xml:space="preserve">ucmr3_vs_ucmr5_mrl_adjusted.csv, ucmr3_comparison_mcnemar_enhanced.csv, ucmr3_comparison_mannwhitney.csv, ucmr3_matched_concordance.csv, ucmr3_matched_systems.csv</w:t>
      </w:r>
    </w:p>
    <w:p>
      <w:pPr>
        <w:pStyle w:val="Heading2"/>
        <w:spacing w:after="120" w:before="240"/>
      </w:pPr>
      <w:r>
        <w:rPr>
          <w:rFonts w:ascii="Arial" w:cs="Arial" w:eastAsia="Arial" w:hAnsi="Arial"/>
        </w:rPr>
        <w:t xml:space="preserve">10.5 From 05_regression.py (14 files)</w:t>
      </w:r>
    </w:p>
    <w:p>
      <w:pPr>
        <w:pStyle w:val="ListParagraph"/>
        <w:numPr>
          <w:ilvl w:val="0"/>
          <w:numId w:val="3"/>
        </w:numPr>
        <w:spacing w:after="80" w:line="240"/>
      </w:pPr>
      <w:r>
        <w:rPr>
          <w:rFonts w:ascii="Arial" w:cs="Arial" w:eastAsia="Arial" w:hAnsi="Arial"/>
          <w:sz w:val="20"/>
          <w:szCs w:val="20"/>
        </w:rPr>
        <w:t xml:space="preserve">regression_primary_detection_jan2026.csv, regression_primary_exceedance_jan2026.csv, regression_demographic_detection_jan2026.csv, regression_demographic_exceedance_jan2026.csv, regression_ors_enhanced.csv, regression_diagnostics_enhanced.csv, regression_hosmer_lemeshow.csv, regression_calibration_data.csv, regression_cooks_distance.csv, regression_deviance_residuals_summary.csv, regression_gee_sensitivity_jan2026.csv, plus additional diagnostics CSVs</w:t>
      </w:r>
    </w:p>
    <w:p>
      <w:pPr>
        <w:pStyle w:val="Heading2"/>
        <w:spacing w:after="120" w:before="240"/>
      </w:pPr>
      <w:r>
        <w:rPr>
          <w:rFonts w:ascii="Arial" w:cs="Arial" w:eastAsia="Arial" w:hAnsi="Arial"/>
        </w:rPr>
        <w:t xml:space="preserve">10.6 From 06_raa_population.py (6 files)</w:t>
      </w:r>
    </w:p>
    <w:p>
      <w:pPr>
        <w:pStyle w:val="ListParagraph"/>
        <w:numPr>
          <w:ilvl w:val="0"/>
          <w:numId w:val="3"/>
        </w:numPr>
        <w:spacing w:after="80" w:line="240"/>
      </w:pPr>
      <w:r>
        <w:rPr>
          <w:rFonts w:ascii="Arial" w:cs="Arial" w:eastAsia="Arial" w:hAnsi="Arial"/>
          <w:sz w:val="20"/>
          <w:szCs w:val="20"/>
        </w:rPr>
        <w:t xml:space="preserve">raa_conversion_enhanced.csv, raa_validation_vs_epa.csv, population_exposure.csv, population_exposure_enhanced.csv, population_exposure_by_state.csv, hi_sensitivity_monte_carlo.csv, hi_component_contributions_enhanced.csv</w:t>
      </w:r>
    </w:p>
    <w:p>
      <w:pPr>
        <w:pStyle w:val="Heading2"/>
        <w:spacing w:after="120" w:before="240"/>
      </w:pPr>
      <w:r>
        <w:rPr>
          <w:rFonts w:ascii="Arial" w:cs="Arial" w:eastAsia="Arial" w:hAnsi="Arial"/>
        </w:rPr>
        <w:t xml:space="preserve">10.7 From 07_ipw_sensitivity.py (3 files)</w:t>
      </w:r>
    </w:p>
    <w:p>
      <w:pPr>
        <w:pStyle w:val="ListParagraph"/>
        <w:numPr>
          <w:ilvl w:val="0"/>
          <w:numId w:val="3"/>
        </w:numPr>
        <w:spacing w:after="80" w:line="240"/>
      </w:pPr>
      <w:r>
        <w:rPr>
          <w:rFonts w:ascii="Arial" w:cs="Arial" w:eastAsia="Arial" w:hAnsi="Arial"/>
          <w:sz w:val="20"/>
          <w:szCs w:val="20"/>
        </w:rPr>
        <w:t xml:space="preserve">ipw_propensity_model.csv, ipw_weighted_vs_unweighted.csv, ipw_covariate_comparison.csv</w:t>
      </w:r>
    </w:p>
    <w:p>
      <w:pPr>
        <w:pStyle w:val="Heading2"/>
        <w:spacing w:after="120" w:before="240"/>
      </w:pPr>
      <w:r>
        <w:rPr>
          <w:rFonts w:ascii="Arial" w:cs="Arial" w:eastAsia="Arial" w:hAnsi="Arial"/>
        </w:rPr>
        <w:t xml:space="preserve">10.8 Verification and SI Files (15 files)</w:t>
      </w:r>
    </w:p>
    <w:p>
      <w:pPr>
        <w:pStyle w:val="ListParagraph"/>
        <w:numPr>
          <w:ilvl w:val="0"/>
          <w:numId w:val="3"/>
        </w:numPr>
        <w:spacing w:after="80" w:line="240"/>
      </w:pPr>
      <w:r>
        <w:rPr>
          <w:rFonts w:ascii="Arial" w:cs="Arial" w:eastAsia="Arial" w:hAnsi="Arial"/>
          <w:sz w:val="20"/>
          <w:szCs w:val="20"/>
        </w:rPr>
        <w:t xml:space="preserve">VERIFIED_*.csv files (5 files cross-checked against manuscript), SI_Table_*.csv files (3 files mapping to SI tables), CORRECTION_SHEET_jan2026.csv, MANUSCRIPT_STATISTICS_VERIFICATION_SUMMARY.csv, and additional correlation/source attribution files</w:t>
      </w:r>
    </w:p>
    <w:p>
      <w:r>
        <w:br w:type="page"/>
      </w:r>
    </w:p>
    <w:p>
      <w:pPr>
        <w:pStyle w:val="Heading1"/>
        <w:spacing w:after="120" w:before="360"/>
      </w:pPr>
      <w:r>
        <w:rPr>
          <w:rFonts w:ascii="Arial" w:cs="Arial" w:eastAsia="Arial" w:hAnsi="Arial"/>
        </w:rPr>
        <w:t xml:space="preserve">11. Version History and Methodology Changes</w:t>
      </w:r>
    </w:p>
    <w:p>
      <w:pPr>
        <w:pStyle w:val="Heading2"/>
        <w:spacing w:after="120" w:before="240"/>
      </w:pPr>
      <w:r>
        <w:rPr>
          <w:rFonts w:ascii="Arial" w:cs="Arial" w:eastAsia="Arial" w:hAnsi="Arial"/>
        </w:rPr>
        <w:t xml:space="preserve">11.1 Version 1.0 (January 2026)</w:t>
      </w:r>
    </w:p>
    <w:p>
      <w:pPr>
        <w:spacing w:after="120" w:before="0" w:line="276"/>
      </w:pPr>
      <w:r>
        <w:rPr>
          <w:rFonts w:ascii="Arial" w:cs="Arial" w:eastAsia="Arial" w:hAnsi="Arial"/>
          <w:sz w:val="22"/>
          <w:szCs w:val="22"/>
        </w:rPr>
        <w:t xml:space="preserve">Initial analysis using the January 2026 UCMR 5 data update. This version used PCA for co-occurrence analysis, a custom Mann-Kendall implementation, Pearson correlation for temporal trends, and a simpler set of 21 SI tables and 5 SI figures.</w:t>
      </w:r>
    </w:p>
    <w:p>
      <w:pPr>
        <w:pStyle w:val="Heading2"/>
        <w:spacing w:after="120" w:before="240"/>
      </w:pPr>
      <w:r>
        <w:rPr>
          <w:rFonts w:ascii="Arial" w:cs="Arial" w:eastAsia="Arial" w:hAnsi="Arial"/>
        </w:rPr>
        <w:t xml:space="preserve">11.2 Version 2.0 (February 2026)</w:t>
      </w:r>
    </w:p>
    <w:p>
      <w:pPr>
        <w:spacing w:after="120" w:before="0" w:line="276"/>
      </w:pPr>
      <w:r>
        <w:rPr>
          <w:rFonts w:ascii="Arial" w:cs="Arial" w:eastAsia="Arial" w:hAnsi="Arial"/>
          <w:sz w:val="22"/>
          <w:szCs w:val="22"/>
        </w:rPr>
        <w:t xml:space="preserve">Comprehensive methodology update following internal review. Key changes:</w:t>
      </w:r>
    </w:p>
    <w:p>
      <w:pPr>
        <w:pStyle w:val="ListParagraph"/>
        <w:numPr>
          <w:ilvl w:val="0"/>
          <w:numId w:val="3"/>
        </w:numPr>
        <w:spacing w:after="60" w:line="260"/>
      </w:pPr>
      <w:r>
        <w:rPr>
          <w:rFonts w:ascii="Arial" w:cs="Arial" w:eastAsia="Arial" w:hAnsi="Arial"/>
          <w:sz w:val="22"/>
          <w:szCs w:val="22"/>
        </w:rPr>
        <w:t xml:space="preserve">PCA replaced with MCA (correct method for binary data)</w:t>
      </w:r>
    </w:p>
    <w:p>
      <w:pPr>
        <w:pStyle w:val="ListParagraph"/>
        <w:numPr>
          <w:ilvl w:val="0"/>
          <w:numId w:val="3"/>
        </w:numPr>
        <w:spacing w:after="60" w:line="260"/>
      </w:pPr>
      <w:r>
        <w:rPr>
          <w:rFonts w:ascii="Arial" w:cs="Arial" w:eastAsia="Arial" w:hAnsi="Arial"/>
          <w:sz w:val="22"/>
          <w:szCs w:val="22"/>
        </w:rPr>
        <w:t xml:space="preserve">Custom Mann-Kendall replaced with pymannkendall library (correct tie handling)</w:t>
      </w:r>
    </w:p>
    <w:p>
      <w:pPr>
        <w:pStyle w:val="ListParagraph"/>
        <w:numPr>
          <w:ilvl w:val="0"/>
          <w:numId w:val="3"/>
        </w:numPr>
        <w:spacing w:after="60" w:line="260"/>
      </w:pPr>
      <w:r>
        <w:rPr>
          <w:rFonts w:ascii="Arial" w:cs="Arial" w:eastAsia="Arial" w:hAnsi="Arial"/>
          <w:sz w:val="22"/>
          <w:szCs w:val="22"/>
        </w:rPr>
        <w:t xml:space="preserve">Pearson correlation replaced with Cochran-Armitage trend test (appropriate for ordered proportions)</w:t>
      </w:r>
    </w:p>
    <w:p>
      <w:pPr>
        <w:pStyle w:val="ListParagraph"/>
        <w:numPr>
          <w:ilvl w:val="0"/>
          <w:numId w:val="3"/>
        </w:numPr>
        <w:spacing w:after="60" w:line="260"/>
      </w:pPr>
      <w:r>
        <w:rPr>
          <w:rFonts w:ascii="Arial" w:cs="Arial" w:eastAsia="Arial" w:hAnsi="Arial"/>
          <w:sz w:val="22"/>
          <w:szCs w:val="22"/>
        </w:rPr>
        <w:t xml:space="preserve">Wilson score CIs added to all proportions (replacing Wald intervals)</w:t>
      </w:r>
    </w:p>
    <w:p>
      <w:pPr>
        <w:pStyle w:val="ListParagraph"/>
        <w:numPr>
          <w:ilvl w:val="0"/>
          <w:numId w:val="3"/>
        </w:numPr>
        <w:spacing w:after="60" w:line="260"/>
      </w:pPr>
      <w:r>
        <w:rPr>
          <w:rFonts w:ascii="Arial" w:cs="Arial" w:eastAsia="Arial" w:hAnsi="Arial"/>
          <w:sz w:val="22"/>
          <w:szCs w:val="22"/>
        </w:rPr>
        <w:t xml:space="preserve">McNemar's exact test with BH-FDR correction added for UCMR 3 comparison</w:t>
      </w:r>
    </w:p>
    <w:p>
      <w:pPr>
        <w:pStyle w:val="ListParagraph"/>
        <w:numPr>
          <w:ilvl w:val="0"/>
          <w:numId w:val="3"/>
        </w:numPr>
        <w:spacing w:after="60" w:line="260"/>
      </w:pPr>
      <w:r>
        <w:rPr>
          <w:rFonts w:ascii="Arial" w:cs="Arial" w:eastAsia="Arial" w:hAnsi="Arial"/>
          <w:sz w:val="22"/>
          <w:szCs w:val="22"/>
        </w:rPr>
        <w:t xml:space="preserve">Monte Carlo HI sensitivity analysis added (10,000 simulations)</w:t>
      </w:r>
    </w:p>
    <w:p>
      <w:pPr>
        <w:pStyle w:val="ListParagraph"/>
        <w:numPr>
          <w:ilvl w:val="0"/>
          <w:numId w:val="3"/>
        </w:numPr>
        <w:spacing w:after="60" w:line="260"/>
      </w:pPr>
      <w:r>
        <w:rPr>
          <w:rFonts w:ascii="Arial" w:cs="Arial" w:eastAsia="Arial" w:hAnsi="Arial"/>
          <w:sz w:val="22"/>
          <w:szCs w:val="22"/>
        </w:rPr>
        <w:t xml:space="preserve">Bootstrap CIs for population exposure estimates (1,000 iterations)</w:t>
      </w:r>
    </w:p>
    <w:p>
      <w:pPr>
        <w:pStyle w:val="ListParagraph"/>
        <w:numPr>
          <w:ilvl w:val="0"/>
          <w:numId w:val="3"/>
        </w:numPr>
        <w:spacing w:after="60" w:line="260"/>
      </w:pPr>
      <w:r>
        <w:rPr>
          <w:rFonts w:ascii="Arial" w:cs="Arial" w:eastAsia="Arial" w:hAnsi="Arial"/>
          <w:sz w:val="22"/>
          <w:szCs w:val="22"/>
        </w:rPr>
        <w:t xml:space="preserve">Hosmer-Lemeshow GOF test and full regression diagnostics added</w:t>
      </w:r>
    </w:p>
    <w:p>
      <w:pPr>
        <w:pStyle w:val="ListParagraph"/>
        <w:numPr>
          <w:ilvl w:val="0"/>
          <w:numId w:val="3"/>
        </w:numPr>
        <w:spacing w:after="60" w:line="260"/>
      </w:pPr>
      <w:r>
        <w:rPr>
          <w:rFonts w:ascii="Arial" w:cs="Arial" w:eastAsia="Arial" w:hAnsi="Arial"/>
          <w:sz w:val="22"/>
          <w:szCs w:val="22"/>
        </w:rPr>
        <w:t xml:space="preserve">Seasonal Kruskal-Wallis analysis with Dunn's post-hoc test added</w:t>
      </w:r>
    </w:p>
    <w:p>
      <w:pPr>
        <w:pStyle w:val="ListParagraph"/>
        <w:numPr>
          <w:ilvl w:val="0"/>
          <w:numId w:val="3"/>
        </w:numPr>
        <w:spacing w:after="60" w:line="260"/>
      </w:pPr>
      <w:r>
        <w:rPr>
          <w:rFonts w:ascii="Arial" w:cs="Arial" w:eastAsia="Arial" w:hAnsi="Arial"/>
          <w:sz w:val="22"/>
          <w:szCs w:val="22"/>
        </w:rPr>
        <w:t xml:space="preserve">FIPS aggregation bug fixed in geographic analyses (8 states affected)</w:t>
      </w:r>
    </w:p>
    <w:p>
      <w:pPr>
        <w:pStyle w:val="ListParagraph"/>
        <w:numPr>
          <w:ilvl w:val="0"/>
          <w:numId w:val="3"/>
        </w:numPr>
        <w:spacing w:after="60" w:line="260"/>
      </w:pPr>
      <w:r>
        <w:rPr>
          <w:rFonts w:ascii="Arial" w:cs="Arial" w:eastAsia="Arial" w:hAnsi="Arial"/>
          <w:sz w:val="22"/>
          <w:szCs w:val="22"/>
        </w:rPr>
        <w:t xml:space="preserve">SI expanded from 21 to 30 tables and 5 to 12 figures</w:t>
      </w:r>
    </w:p>
    <w:p>
      <w:r>
        <w:br w:type="page"/>
      </w:r>
    </w:p>
    <w:p>
      <w:pPr>
        <w:pStyle w:val="Heading1"/>
        <w:spacing w:after="120" w:before="360"/>
      </w:pPr>
      <w:r>
        <w:rPr>
          <w:rFonts w:ascii="Arial" w:cs="Arial" w:eastAsia="Arial" w:hAnsi="Arial"/>
        </w:rPr>
        <w:t xml:space="preserve">12. Statistical Methods Quick Reference</w:t>
      </w:r>
    </w:p>
    <w:p>
      <w:pPr>
        <w:spacing w:after="120" w:before="0" w:line="276"/>
      </w:pPr>
      <w:r>
        <w:rPr>
          <w:rFonts w:ascii="Arial" w:cs="Arial" w:eastAsia="Arial" w:hAnsi="Arial"/>
          <w:sz w:val="22"/>
          <w:szCs w:val="22"/>
        </w:rPr>
        <w:t xml:space="preserve">The following table summarizes all statistical methods used in the manuscript, their purpose, implementation, and the script where each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2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Script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Wilson Score CI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CIs for proportions near 0 or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 / manual formula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01, 02, 06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Pearson Chi-Square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Association between categoricals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scipy.stats.chi2_contingency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Cramér's V + Bootstrap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 size for chi-square with CIs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 bootstrap (n=1000)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Two-Proportion Z-Test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vs. national rate comparison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Z-score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Benjamini-Hochberg FDR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comparison correction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statsmodels.multipletests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01, 04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Mann-Kendall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Monotonic trend in time series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pymannkendall.original_test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Cochran-Armitage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Trend in proportions across groups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 chi-square framework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Kruskal-Wallis + Dunn's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Non-parametric group comparison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scipy.stats.kruskal + post-hoc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Dimensionality reduction (binary)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prince.MCA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McNemar's Exact Test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Paired proportion comparison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 scipy binom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Mann-Whitney 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Distribution comparison (non-normal)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scipy.stats.mannwhitneyu</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04, 07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Logistic Regression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Binary outcome modeling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statsmodels.Logit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05, 07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Clustered data sensitivity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statsmodels.GEE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Hosmer-Lemeshow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Logistic regression calibration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decile computation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Cook's Distance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Influential observation detection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statsmodels diagnostics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Monte Carlo Simulation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 sensitivity to HBWC variation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numpy random (n=10,000)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Bootstrap CI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Uncertainty for population estimates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numpy resampling (n=1,000)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Inverse Probability Weighting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Selection bias assessment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statsmodels weighted Logit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w:t>
            </w:r>
          </w:p>
        </w:tc>
      </w:tr>
    </w:tbl>
    <w:p>
      <w:pPr>
        <w:spacing w:after="120" w:before="0" w:line="276"/>
      </w:pPr>
      <w:r>
        <w:rPr>
          <w:rFonts w:ascii="Arial" w:cs="Arial" w:eastAsia="Arial" w:hAnsi="Arial"/>
          <w:sz w:val="22"/>
          <w:szCs w:val="22"/>
        </w:rPr>
        <w:t xml:space="preserve"/>
      </w:r>
    </w:p>
    <w:p>
      <w:pPr>
        <w:spacing w:after="120" w:before="0" w:line="276"/>
      </w:pPr>
      <w:r>
        <w:rPr>
          <w:rFonts w:ascii="Arial" w:cs="Arial" w:eastAsia="Arial" w:hAnsi="Arial"/>
          <w:sz w:val="22"/>
          <w:szCs w:val="22"/>
        </w:rPr>
        <w:t xml:space="preserve"/>
      </w:r>
    </w:p>
    <w:p>
      <w:pPr>
        <w:pBdr>
          <w:top w:val="single" w:color="1F4E79" w:sz="4" w:space="8"/>
        </w:pBdr>
        <w:spacing w:before="400"/>
        <w:jc w:val="center"/>
      </w:pPr>
      <w:r>
        <w:rPr>
          <w:rFonts w:ascii="Arial" w:cs="Arial" w:eastAsia="Arial" w:hAnsi="Arial"/>
          <w:i/>
          <w:iCs/>
          <w:color w:val="999999"/>
          <w:sz w:val="22"/>
          <w:szCs w:val="22"/>
        </w:rPr>
        <w:t xml:space="preserve">End of Reproducibility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i/>
        <w:iCs/>
        <w:color w:val="999999"/>
        <w:sz w:val="18"/>
        <w:szCs w:val="18"/>
      </w:rPr>
      <w:t xml:space="preserve">PFAS UCMR 5 — Reproducibility Guide</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2026-03-05T21:57:00.294Z</dcterms:created>
  <dcterms:modified xsi:type="dcterms:W3CDTF">2026-03-05T21:57:00.295Z</dcterms:modified>
</cp:coreProperties>
</file>

<file path=docProps/custom.xml><?xml version="1.0" encoding="utf-8"?>
<Properties xmlns="http://schemas.openxmlformats.org/officeDocument/2006/custom-properties" xmlns:vt="http://schemas.openxmlformats.org/officeDocument/2006/docPropsVTypes"/>
</file>