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Chatbot Conversation</w:t>
      </w:r>
    </w:p>
    <w:p>
      <w:r>
        <w:rPr>
          <w:b/>
        </w:rPr>
        <w:t xml:space="preserve">User: </w:t>
      </w:r>
      <w:r>
        <w:t>hello</w:t>
      </w:r>
    </w:p>
    <w:p>
      <w:r>
        <w:rPr>
          <w:b/>
        </w:rPr>
        <w:t xml:space="preserve">Bot: </w:t>
      </w:r>
      <w:r>
        <w:t>Please enter more information.</w:t>
      </w:r>
    </w:p>
    <w:p>
      <w:r>
        <w:rPr>
          <w:b/>
        </w:rPr>
        <w:t xml:space="preserve">User: </w:t>
      </w:r>
      <w:r>
        <w:t>MSI currently has an installed production capacity of?</w:t>
      </w:r>
    </w:p>
    <w:p>
      <w:r>
        <w:rPr>
          <w:b/>
        </w:rPr>
        <w:t xml:space="preserve">Bot: </w:t>
      </w:r>
      <w:r>
        <w:t>MSI currently has an installed production capacity of around 23 lakh units per annum spread across its plants in Haryana and Gujarat.  Bharti said the initiative "comes at a small cost" as it involves a slightly suboptimal format of production.  Elaborating on the drop in sales of the entry level cars, he noted that the cost of acquisition has gone up disproportionately because of the increased regulatory intensity in the past few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