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95F3" w14:textId="0599C24C" w:rsidR="00723E4E" w:rsidRDefault="00723E4E" w:rsidP="00257D0F">
      <w:pPr>
        <w:pStyle w:val="Heading1"/>
      </w:pPr>
      <w:r w:rsidRPr="009C3DE4">
        <w:t>Unit</w:t>
      </w:r>
      <w:r>
        <w:t xml:space="preserve"> Cap Suggestions</w:t>
      </w:r>
    </w:p>
    <w:p w14:paraId="538F95F4" w14:textId="77777777" w:rsidR="00A45435" w:rsidRDefault="00A45435" w:rsidP="00723E4E">
      <w:pPr>
        <w:pStyle w:val="NoSpacing"/>
        <w:rPr>
          <w:b/>
        </w:rPr>
      </w:pPr>
    </w:p>
    <w:p w14:paraId="538F95F5" w14:textId="77777777" w:rsidR="00A45435" w:rsidRDefault="00A45435" w:rsidP="00723E4E">
      <w:pPr>
        <w:pStyle w:val="NoSpacing"/>
      </w:pPr>
      <w:r>
        <w:t>Here’s my unit cap suggestions. They’re pretty basic so hopefully everyone agrees these are positive changes.</w:t>
      </w:r>
    </w:p>
    <w:p w14:paraId="538F95F6" w14:textId="77777777" w:rsidR="00723E4E" w:rsidRDefault="00A45435" w:rsidP="00723E4E">
      <w:pPr>
        <w:pStyle w:val="NoSpacing"/>
      </w:pPr>
      <w:r>
        <w:t xml:space="preserve"> </w:t>
      </w:r>
    </w:p>
    <w:p w14:paraId="538F95F7" w14:textId="77777777" w:rsidR="00723E4E" w:rsidRPr="00723E4E" w:rsidRDefault="00723E4E" w:rsidP="00192355">
      <w:pPr>
        <w:pStyle w:val="Heading2"/>
      </w:pPr>
      <w:r w:rsidRPr="00723E4E">
        <w:t>Destroyers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032"/>
        <w:gridCol w:w="990"/>
      </w:tblGrid>
      <w:tr w:rsidR="00723E4E" w:rsidRPr="00723E4E" w14:paraId="538F95FB" w14:textId="77777777" w:rsidTr="001D2189">
        <w:trPr>
          <w:trHeight w:val="300"/>
        </w:trPr>
        <w:tc>
          <w:tcPr>
            <w:tcW w:w="3486" w:type="dxa"/>
            <w:noWrap/>
            <w:hideMark/>
          </w:tcPr>
          <w:p w14:paraId="538F95F8" w14:textId="77777777" w:rsidR="00723E4E" w:rsidRPr="00723E4E" w:rsidRDefault="00723E4E" w:rsidP="001D2189">
            <w:pPr>
              <w:pStyle w:val="NoSpacing"/>
              <w:rPr>
                <w:b/>
                <w:bCs/>
              </w:rPr>
            </w:pPr>
            <w:r w:rsidRPr="00723E4E">
              <w:rPr>
                <w:b/>
                <w:bCs/>
              </w:rPr>
              <w:t>Ships</w:t>
            </w:r>
          </w:p>
        </w:tc>
        <w:tc>
          <w:tcPr>
            <w:tcW w:w="1032" w:type="dxa"/>
            <w:noWrap/>
            <w:hideMark/>
          </w:tcPr>
          <w:p w14:paraId="538F95F9" w14:textId="77777777" w:rsidR="00723E4E" w:rsidRPr="00723E4E" w:rsidRDefault="00723E4E" w:rsidP="001D2189">
            <w:pPr>
              <w:pStyle w:val="NoSpacing"/>
              <w:rPr>
                <w:b/>
                <w:bCs/>
              </w:rPr>
            </w:pPr>
            <w:r w:rsidRPr="00723E4E">
              <w:rPr>
                <w:b/>
                <w:bCs/>
              </w:rPr>
              <w:t>HW2</w:t>
            </w:r>
          </w:p>
        </w:tc>
        <w:tc>
          <w:tcPr>
            <w:tcW w:w="990" w:type="dxa"/>
            <w:noWrap/>
            <w:hideMark/>
          </w:tcPr>
          <w:p w14:paraId="538F95FA" w14:textId="77777777" w:rsidR="00723E4E" w:rsidRPr="00723E4E" w:rsidRDefault="00723E4E" w:rsidP="001D2189">
            <w:pPr>
              <w:pStyle w:val="NoSpacing"/>
              <w:rPr>
                <w:b/>
                <w:bCs/>
              </w:rPr>
            </w:pPr>
            <w:r w:rsidRPr="00723E4E">
              <w:rPr>
                <w:b/>
                <w:bCs/>
              </w:rPr>
              <w:t>HWR</w:t>
            </w:r>
          </w:p>
        </w:tc>
      </w:tr>
      <w:tr w:rsidR="00723E4E" w:rsidRPr="00723E4E" w14:paraId="538F95FF" w14:textId="77777777" w:rsidTr="001D2189">
        <w:trPr>
          <w:trHeight w:val="300"/>
        </w:trPr>
        <w:tc>
          <w:tcPr>
            <w:tcW w:w="3486" w:type="dxa"/>
            <w:noWrap/>
            <w:hideMark/>
          </w:tcPr>
          <w:p w14:paraId="538F95FC" w14:textId="77777777" w:rsidR="00723E4E" w:rsidRPr="00723E4E" w:rsidRDefault="00723E4E" w:rsidP="001D2189">
            <w:pPr>
              <w:pStyle w:val="NoSpacing"/>
            </w:pPr>
            <w:r w:rsidRPr="00723E4E">
              <w:t>Destroyer</w:t>
            </w:r>
          </w:p>
        </w:tc>
        <w:tc>
          <w:tcPr>
            <w:tcW w:w="1032" w:type="dxa"/>
            <w:noWrap/>
            <w:hideMark/>
          </w:tcPr>
          <w:p w14:paraId="538F95FD" w14:textId="77777777" w:rsidR="00723E4E" w:rsidRPr="00723E4E" w:rsidRDefault="00723E4E" w:rsidP="001D2189">
            <w:pPr>
              <w:pStyle w:val="NoSpacing"/>
            </w:pPr>
            <w:r w:rsidRPr="00723E4E">
              <w:t>5</w:t>
            </w:r>
          </w:p>
        </w:tc>
        <w:tc>
          <w:tcPr>
            <w:tcW w:w="990" w:type="dxa"/>
            <w:shd w:val="clear" w:color="auto" w:fill="FFFF00"/>
            <w:noWrap/>
            <w:hideMark/>
          </w:tcPr>
          <w:p w14:paraId="538F95FE" w14:textId="77777777" w:rsidR="00723E4E" w:rsidRPr="00723E4E" w:rsidRDefault="00723E4E" w:rsidP="001D2189">
            <w:pPr>
              <w:pStyle w:val="NoSpacing"/>
            </w:pPr>
            <w:r w:rsidRPr="00723E4E">
              <w:t>7</w:t>
            </w:r>
          </w:p>
        </w:tc>
      </w:tr>
      <w:tr w:rsidR="00723E4E" w:rsidRPr="00723E4E" w14:paraId="538F9603" w14:textId="77777777" w:rsidTr="001D2189">
        <w:trPr>
          <w:trHeight w:val="300"/>
        </w:trPr>
        <w:tc>
          <w:tcPr>
            <w:tcW w:w="3486" w:type="dxa"/>
            <w:noWrap/>
            <w:hideMark/>
          </w:tcPr>
          <w:p w14:paraId="538F9600" w14:textId="77777777" w:rsidR="00723E4E" w:rsidRPr="00723E4E" w:rsidRDefault="00723E4E" w:rsidP="001D2189">
            <w:pPr>
              <w:pStyle w:val="NoSpacing"/>
            </w:pPr>
            <w:r w:rsidRPr="00723E4E">
              <w:t>Battlecruiser</w:t>
            </w:r>
          </w:p>
        </w:tc>
        <w:tc>
          <w:tcPr>
            <w:tcW w:w="1032" w:type="dxa"/>
            <w:noWrap/>
            <w:hideMark/>
          </w:tcPr>
          <w:p w14:paraId="538F9601" w14:textId="77777777" w:rsidR="00723E4E" w:rsidRPr="00723E4E" w:rsidRDefault="00723E4E" w:rsidP="001D2189">
            <w:pPr>
              <w:pStyle w:val="NoSpacing"/>
            </w:pPr>
            <w:r w:rsidRPr="00723E4E">
              <w:t>3</w:t>
            </w:r>
          </w:p>
        </w:tc>
        <w:tc>
          <w:tcPr>
            <w:tcW w:w="990" w:type="dxa"/>
            <w:shd w:val="clear" w:color="auto" w:fill="FFFF00"/>
            <w:noWrap/>
            <w:hideMark/>
          </w:tcPr>
          <w:p w14:paraId="538F9602" w14:textId="77777777" w:rsidR="00723E4E" w:rsidRPr="00723E4E" w:rsidRDefault="00723E4E" w:rsidP="001D2189">
            <w:pPr>
              <w:pStyle w:val="NoSpacing"/>
            </w:pPr>
            <w:r w:rsidRPr="00723E4E">
              <w:t>2</w:t>
            </w:r>
          </w:p>
        </w:tc>
      </w:tr>
    </w:tbl>
    <w:p w14:paraId="538F9604" w14:textId="77777777" w:rsidR="00E8401A" w:rsidRPr="00E8401A" w:rsidRDefault="00E8401A" w:rsidP="00723E4E">
      <w:pPr>
        <w:pStyle w:val="NoSpacing"/>
        <w:numPr>
          <w:ilvl w:val="0"/>
          <w:numId w:val="6"/>
        </w:numPr>
        <w:rPr>
          <w:b/>
        </w:rPr>
      </w:pPr>
      <w:r>
        <w:t>Restore the destroyer unit cap of 5</w:t>
      </w:r>
      <w:r w:rsidR="00F84F6B">
        <w:t xml:space="preserve"> for all races</w:t>
      </w:r>
    </w:p>
    <w:p w14:paraId="538F9605" w14:textId="77777777" w:rsidR="00723E4E" w:rsidRPr="00E8401A" w:rsidRDefault="00723E4E" w:rsidP="00E8401A">
      <w:pPr>
        <w:pStyle w:val="NoSpacing"/>
        <w:numPr>
          <w:ilvl w:val="1"/>
          <w:numId w:val="6"/>
        </w:numPr>
        <w:rPr>
          <w:b/>
        </w:rPr>
      </w:pPr>
      <w:r>
        <w:t>Now that the BC</w:t>
      </w:r>
      <w:r w:rsidR="00F84F6B">
        <w:t>/heavy cruiser</w:t>
      </w:r>
      <w:r>
        <w:t xml:space="preserve"> unit cap has dropped from 3 to 2, </w:t>
      </w:r>
      <w:r w:rsidR="00E8401A">
        <w:t>the destroyer unit cap</w:t>
      </w:r>
      <w:r>
        <w:t xml:space="preserve"> should also </w:t>
      </w:r>
      <w:r w:rsidR="00E8401A">
        <w:t>drop</w:t>
      </w:r>
      <w:r>
        <w:t>.</w:t>
      </w:r>
    </w:p>
    <w:p w14:paraId="538F9606" w14:textId="77777777" w:rsidR="00E8401A" w:rsidRPr="00723E4E" w:rsidRDefault="00E8401A" w:rsidP="00E8401A">
      <w:pPr>
        <w:pStyle w:val="NoSpacing"/>
        <w:numPr>
          <w:ilvl w:val="1"/>
          <w:numId w:val="6"/>
        </w:numPr>
        <w:rPr>
          <w:b/>
        </w:rPr>
      </w:pPr>
      <w:r>
        <w:t>5 destroyers and 21 frigates is a good 1:4 ratio. 7 destroyers and 21 frigates was a 1:3 ratio that wasn’t favorable to frigates late game.</w:t>
      </w:r>
    </w:p>
    <w:p w14:paraId="538F9607" w14:textId="77777777" w:rsidR="00723E4E" w:rsidRDefault="00723E4E" w:rsidP="00723E4E">
      <w:pPr>
        <w:pStyle w:val="NoSpacing"/>
        <w:rPr>
          <w:b/>
        </w:rPr>
      </w:pPr>
    </w:p>
    <w:p w14:paraId="538F9608" w14:textId="77777777" w:rsidR="00723E4E" w:rsidRPr="00723E4E" w:rsidRDefault="00723E4E" w:rsidP="00192355">
      <w:pPr>
        <w:pStyle w:val="Heading2"/>
      </w:pPr>
      <w:r w:rsidRPr="00723E4E">
        <w:t>Probes/Proximity Sensors/Sensors 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976"/>
        <w:gridCol w:w="976"/>
      </w:tblGrid>
      <w:tr w:rsidR="00723E4E" w:rsidRPr="00E10A96" w14:paraId="538F960C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09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 w:rsidRPr="00E10A96">
              <w:rPr>
                <w:b/>
                <w:bCs/>
              </w:rPr>
              <w:t>Ships</w:t>
            </w:r>
          </w:p>
        </w:tc>
        <w:tc>
          <w:tcPr>
            <w:tcW w:w="976" w:type="dxa"/>
            <w:noWrap/>
            <w:hideMark/>
          </w:tcPr>
          <w:p w14:paraId="538F960A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 w:rsidRPr="00E10A96">
              <w:rPr>
                <w:b/>
                <w:bCs/>
              </w:rPr>
              <w:t>HW2</w:t>
            </w:r>
          </w:p>
        </w:tc>
        <w:tc>
          <w:tcPr>
            <w:tcW w:w="976" w:type="dxa"/>
            <w:noWrap/>
            <w:hideMark/>
          </w:tcPr>
          <w:p w14:paraId="538F960B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 w:rsidRPr="00E10A96">
              <w:rPr>
                <w:b/>
                <w:bCs/>
              </w:rPr>
              <w:t>HWR</w:t>
            </w:r>
          </w:p>
        </w:tc>
      </w:tr>
      <w:tr w:rsidR="00723E4E" w:rsidRPr="00E10A96" w14:paraId="538F9610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0D" w14:textId="77777777" w:rsidR="00723E4E" w:rsidRPr="00E10A96" w:rsidRDefault="00723E4E" w:rsidP="001D2189">
            <w:pPr>
              <w:pStyle w:val="NoSpacing"/>
            </w:pPr>
            <w:r w:rsidRPr="00E10A96">
              <w:t>Probe</w:t>
            </w:r>
          </w:p>
        </w:tc>
        <w:tc>
          <w:tcPr>
            <w:tcW w:w="976" w:type="dxa"/>
            <w:noWrap/>
            <w:hideMark/>
          </w:tcPr>
          <w:p w14:paraId="538F960E" w14:textId="77777777" w:rsidR="00723E4E" w:rsidRPr="00E10A96" w:rsidRDefault="00723E4E" w:rsidP="001D2189">
            <w:pPr>
              <w:pStyle w:val="NoSpacing"/>
            </w:pPr>
            <w:r w:rsidRPr="00E10A96">
              <w:t>10</w:t>
            </w: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0F" w14:textId="77777777" w:rsidR="00723E4E" w:rsidRPr="00E10A96" w:rsidRDefault="00723E4E" w:rsidP="001D2189">
            <w:pPr>
              <w:pStyle w:val="NoSpacing"/>
            </w:pPr>
            <w:r w:rsidRPr="00E10A96">
              <w:t>6</w:t>
            </w:r>
          </w:p>
        </w:tc>
      </w:tr>
      <w:tr w:rsidR="00723E4E" w:rsidRPr="00E10A96" w14:paraId="538F9614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11" w14:textId="77777777" w:rsidR="00723E4E" w:rsidRPr="00E10A96" w:rsidRDefault="00723E4E" w:rsidP="001D2189">
            <w:pPr>
              <w:pStyle w:val="NoSpacing"/>
            </w:pPr>
            <w:r w:rsidRPr="00E10A96">
              <w:t>Proximity Sensor Probe</w:t>
            </w:r>
          </w:p>
        </w:tc>
        <w:tc>
          <w:tcPr>
            <w:tcW w:w="976" w:type="dxa"/>
            <w:noWrap/>
            <w:hideMark/>
          </w:tcPr>
          <w:p w14:paraId="538F9612" w14:textId="77777777" w:rsidR="00723E4E" w:rsidRPr="00E10A96" w:rsidRDefault="00723E4E" w:rsidP="001D2189">
            <w:pPr>
              <w:pStyle w:val="NoSpacing"/>
            </w:pPr>
            <w:r w:rsidRPr="00E10A96">
              <w:t>10</w:t>
            </w: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13" w14:textId="77777777" w:rsidR="00723E4E" w:rsidRPr="00E10A96" w:rsidRDefault="00723E4E" w:rsidP="001D2189">
            <w:pPr>
              <w:pStyle w:val="NoSpacing"/>
            </w:pPr>
            <w:r w:rsidRPr="00E10A96">
              <w:t>6</w:t>
            </w:r>
          </w:p>
        </w:tc>
      </w:tr>
      <w:tr w:rsidR="00723E4E" w:rsidRPr="00E10A96" w14:paraId="538F9618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15" w14:textId="77777777" w:rsidR="00723E4E" w:rsidRPr="00E10A96" w:rsidRDefault="00723E4E" w:rsidP="001D2189">
            <w:pPr>
              <w:pStyle w:val="NoSpacing"/>
            </w:pPr>
            <w:r w:rsidRPr="00E10A96">
              <w:t>Sensor Array</w:t>
            </w:r>
          </w:p>
        </w:tc>
        <w:tc>
          <w:tcPr>
            <w:tcW w:w="976" w:type="dxa"/>
            <w:noWrap/>
            <w:hideMark/>
          </w:tcPr>
          <w:p w14:paraId="538F9616" w14:textId="77777777" w:rsidR="00723E4E" w:rsidRPr="00E10A96" w:rsidRDefault="00723E4E" w:rsidP="001D2189">
            <w:pPr>
              <w:pStyle w:val="NoSpacing"/>
            </w:pP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17" w14:textId="77777777" w:rsidR="00723E4E" w:rsidRPr="00E10A96" w:rsidRDefault="00723E4E" w:rsidP="001D2189">
            <w:pPr>
              <w:pStyle w:val="NoSpacing"/>
            </w:pPr>
            <w:r w:rsidRPr="00E10A96">
              <w:t>4</w:t>
            </w:r>
          </w:p>
        </w:tc>
      </w:tr>
    </w:tbl>
    <w:p w14:paraId="538F9619" w14:textId="77777777" w:rsidR="00723E4E" w:rsidRDefault="00723E4E" w:rsidP="00723E4E">
      <w:pPr>
        <w:pStyle w:val="NoSpacing"/>
        <w:numPr>
          <w:ilvl w:val="0"/>
          <w:numId w:val="6"/>
        </w:numPr>
      </w:pPr>
      <w:r>
        <w:t>Remove these individual ship unit caps</w:t>
      </w:r>
    </w:p>
    <w:p w14:paraId="538F961A" w14:textId="77777777" w:rsidR="00723E4E" w:rsidRDefault="00723E4E" w:rsidP="00723E4E">
      <w:pPr>
        <w:pStyle w:val="NoSpacing"/>
        <w:numPr>
          <w:ilvl w:val="1"/>
          <w:numId w:val="6"/>
        </w:numPr>
      </w:pPr>
      <w:r>
        <w:t>They are not needed, and were higher in hw1/hw2.</w:t>
      </w:r>
    </w:p>
    <w:p w14:paraId="538F961B" w14:textId="77777777" w:rsidR="00723E4E" w:rsidRDefault="00723E4E" w:rsidP="00723E4E">
      <w:pPr>
        <w:pStyle w:val="NoSpacing"/>
        <w:numPr>
          <w:ilvl w:val="1"/>
          <w:numId w:val="6"/>
        </w:numPr>
      </w:pPr>
      <w:r>
        <w:t>They also limit Vaygr's ability to find players on big maps since Vaygr doesn't have the ping ability.</w:t>
      </w:r>
    </w:p>
    <w:p w14:paraId="538F961C" w14:textId="77777777" w:rsidR="00723E4E" w:rsidRDefault="00723E4E" w:rsidP="00723E4E">
      <w:pPr>
        <w:pStyle w:val="NoSpacing"/>
      </w:pPr>
    </w:p>
    <w:p w14:paraId="538F961D" w14:textId="77777777" w:rsidR="00723E4E" w:rsidRPr="00723E4E" w:rsidRDefault="00723E4E" w:rsidP="00192355">
      <w:pPr>
        <w:pStyle w:val="Heading2"/>
      </w:pPr>
      <w:r w:rsidRPr="00723E4E">
        <w:t>HW2 Utility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976"/>
        <w:gridCol w:w="976"/>
      </w:tblGrid>
      <w:tr w:rsidR="00723E4E" w:rsidRPr="00E10A96" w14:paraId="538F9621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1E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 w:rsidRPr="00E10A96">
              <w:rPr>
                <w:b/>
                <w:bCs/>
              </w:rPr>
              <w:t>Race/</w:t>
            </w:r>
            <w:r>
              <w:rPr>
                <w:b/>
                <w:bCs/>
              </w:rPr>
              <w:t>Class</w:t>
            </w:r>
          </w:p>
        </w:tc>
        <w:tc>
          <w:tcPr>
            <w:tcW w:w="976" w:type="dxa"/>
            <w:noWrap/>
            <w:hideMark/>
          </w:tcPr>
          <w:p w14:paraId="538F961F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HW2</w:t>
            </w:r>
          </w:p>
        </w:tc>
        <w:tc>
          <w:tcPr>
            <w:tcW w:w="976" w:type="dxa"/>
            <w:noWrap/>
            <w:hideMark/>
          </w:tcPr>
          <w:p w14:paraId="538F9620" w14:textId="77777777" w:rsidR="00723E4E" w:rsidRPr="00E10A96" w:rsidRDefault="00723E4E" w:rsidP="001D2189">
            <w:pPr>
              <w:pStyle w:val="NoSpacing"/>
              <w:rPr>
                <w:b/>
                <w:bCs/>
              </w:rPr>
            </w:pPr>
            <w:r w:rsidRPr="00E10A96">
              <w:rPr>
                <w:b/>
                <w:bCs/>
              </w:rPr>
              <w:t>HWR</w:t>
            </w:r>
          </w:p>
        </w:tc>
      </w:tr>
      <w:tr w:rsidR="00723E4E" w:rsidRPr="00E10A96" w14:paraId="538F9625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22" w14:textId="77777777" w:rsidR="00723E4E" w:rsidRPr="00E10A96" w:rsidRDefault="00723E4E" w:rsidP="001D2189">
            <w:pPr>
              <w:pStyle w:val="NoSpacing"/>
            </w:pPr>
            <w:r>
              <w:t xml:space="preserve">HW2 </w:t>
            </w:r>
            <w:r w:rsidRPr="00E10A96">
              <w:t>Utility</w:t>
            </w:r>
          </w:p>
        </w:tc>
        <w:tc>
          <w:tcPr>
            <w:tcW w:w="976" w:type="dxa"/>
            <w:noWrap/>
            <w:hideMark/>
          </w:tcPr>
          <w:p w14:paraId="538F9623" w14:textId="77777777" w:rsidR="00723E4E" w:rsidRPr="00E10A96" w:rsidRDefault="00723E4E" w:rsidP="001D2189">
            <w:pPr>
              <w:pStyle w:val="NoSpacing"/>
            </w:pPr>
            <w:r w:rsidRPr="00E10A96">
              <w:t>50</w:t>
            </w: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24" w14:textId="77777777" w:rsidR="00723E4E" w:rsidRPr="00E10A96" w:rsidRDefault="00723E4E" w:rsidP="001D2189">
            <w:pPr>
              <w:pStyle w:val="NoSpacing"/>
            </w:pPr>
            <w:r w:rsidRPr="00E10A96">
              <w:t>40</w:t>
            </w:r>
          </w:p>
        </w:tc>
      </w:tr>
    </w:tbl>
    <w:p w14:paraId="538F9626" w14:textId="77777777" w:rsidR="00723E4E" w:rsidRDefault="00723E4E" w:rsidP="00723E4E">
      <w:pPr>
        <w:pStyle w:val="NoSpacing"/>
        <w:numPr>
          <w:ilvl w:val="0"/>
          <w:numId w:val="6"/>
        </w:numPr>
      </w:pPr>
      <w:r>
        <w:t>Restore the hw2 utility unit cap.</w:t>
      </w:r>
    </w:p>
    <w:p w14:paraId="538F9627" w14:textId="77777777" w:rsidR="00723E4E" w:rsidRDefault="00723E4E" w:rsidP="00723E4E">
      <w:pPr>
        <w:pStyle w:val="NoSpacing"/>
        <w:numPr>
          <w:ilvl w:val="1"/>
          <w:numId w:val="6"/>
        </w:numPr>
      </w:pPr>
      <w:r>
        <w:t>This balances the 25 Resource/25 NonCombat ships that hw1 races can get.</w:t>
      </w:r>
    </w:p>
    <w:p w14:paraId="538F9628" w14:textId="77777777" w:rsidR="00723E4E" w:rsidRDefault="00723E4E" w:rsidP="00723E4E">
      <w:pPr>
        <w:pStyle w:val="NoSpacing"/>
        <w:numPr>
          <w:ilvl w:val="1"/>
          <w:numId w:val="6"/>
        </w:numPr>
      </w:pPr>
      <w:r>
        <w:t>It also allows for hw2 to send more probes, especially for Vaygr.</w:t>
      </w:r>
    </w:p>
    <w:p w14:paraId="538F9629" w14:textId="77777777" w:rsidR="00F84F6B" w:rsidRDefault="00F84F6B" w:rsidP="00723E4E">
      <w:pPr>
        <w:pStyle w:val="NoSpacing"/>
      </w:pPr>
    </w:p>
    <w:p w14:paraId="538F962A" w14:textId="77777777" w:rsidR="00723E4E" w:rsidRPr="00F84F6B" w:rsidRDefault="00723E4E" w:rsidP="00192355">
      <w:pPr>
        <w:pStyle w:val="Heading2"/>
      </w:pPr>
      <w:r w:rsidRPr="00F84F6B">
        <w:t>HW1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976"/>
        <w:gridCol w:w="976"/>
      </w:tblGrid>
      <w:tr w:rsidR="00723E4E" w:rsidRPr="00542EC0" w14:paraId="538F962E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2B" w14:textId="77777777" w:rsidR="00723E4E" w:rsidRPr="00542EC0" w:rsidRDefault="00723E4E" w:rsidP="001D2189">
            <w:pPr>
              <w:pStyle w:val="NoSpacing"/>
              <w:rPr>
                <w:b/>
                <w:bCs/>
              </w:rPr>
            </w:pPr>
            <w:r w:rsidRPr="00542EC0">
              <w:rPr>
                <w:b/>
                <w:bCs/>
              </w:rPr>
              <w:t>Race/Class/Ships</w:t>
            </w:r>
          </w:p>
        </w:tc>
        <w:tc>
          <w:tcPr>
            <w:tcW w:w="976" w:type="dxa"/>
            <w:noWrap/>
            <w:hideMark/>
          </w:tcPr>
          <w:p w14:paraId="538F962C" w14:textId="77777777" w:rsidR="00723E4E" w:rsidRPr="00542EC0" w:rsidRDefault="00723E4E" w:rsidP="001D2189">
            <w:pPr>
              <w:pStyle w:val="NoSpacing"/>
              <w:rPr>
                <w:b/>
                <w:bCs/>
              </w:rPr>
            </w:pPr>
            <w:r w:rsidRPr="00542EC0">
              <w:rPr>
                <w:b/>
                <w:bCs/>
              </w:rPr>
              <w:t>HW2</w:t>
            </w:r>
          </w:p>
        </w:tc>
        <w:tc>
          <w:tcPr>
            <w:tcW w:w="976" w:type="dxa"/>
            <w:noWrap/>
            <w:hideMark/>
          </w:tcPr>
          <w:p w14:paraId="538F962D" w14:textId="77777777" w:rsidR="00723E4E" w:rsidRPr="00542EC0" w:rsidRDefault="00723E4E" w:rsidP="001D2189">
            <w:pPr>
              <w:pStyle w:val="NoSpacing"/>
              <w:rPr>
                <w:b/>
                <w:bCs/>
              </w:rPr>
            </w:pPr>
            <w:r w:rsidRPr="00542EC0">
              <w:rPr>
                <w:b/>
                <w:bCs/>
              </w:rPr>
              <w:t>HWR</w:t>
            </w:r>
          </w:p>
        </w:tc>
      </w:tr>
      <w:tr w:rsidR="00723E4E" w:rsidRPr="00542EC0" w14:paraId="538F9632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2F" w14:textId="77777777" w:rsidR="00723E4E" w:rsidRPr="00542EC0" w:rsidRDefault="00723E4E" w:rsidP="001D2189">
            <w:pPr>
              <w:pStyle w:val="NoSpacing"/>
            </w:pPr>
            <w:r>
              <w:t xml:space="preserve">HW1 </w:t>
            </w:r>
            <w:r w:rsidRPr="00542EC0">
              <w:t>Resource</w:t>
            </w:r>
          </w:p>
        </w:tc>
        <w:tc>
          <w:tcPr>
            <w:tcW w:w="976" w:type="dxa"/>
            <w:noWrap/>
            <w:hideMark/>
          </w:tcPr>
          <w:p w14:paraId="538F9630" w14:textId="77777777" w:rsidR="00723E4E" w:rsidRPr="00542EC0" w:rsidRDefault="00723E4E" w:rsidP="001D2189">
            <w:pPr>
              <w:pStyle w:val="NoSpacing"/>
            </w:pP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31" w14:textId="77777777" w:rsidR="00723E4E" w:rsidRPr="00542EC0" w:rsidRDefault="00723E4E" w:rsidP="001D2189">
            <w:pPr>
              <w:pStyle w:val="NoSpacing"/>
            </w:pPr>
            <w:r w:rsidRPr="00542EC0">
              <w:t>25</w:t>
            </w:r>
          </w:p>
        </w:tc>
      </w:tr>
      <w:tr w:rsidR="00723E4E" w:rsidRPr="00542EC0" w14:paraId="538F9636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33" w14:textId="77777777" w:rsidR="00723E4E" w:rsidRPr="00542EC0" w:rsidRDefault="00723E4E" w:rsidP="001D2189">
            <w:pPr>
              <w:pStyle w:val="NoSpacing"/>
            </w:pPr>
            <w:r>
              <w:t xml:space="preserve">   </w:t>
            </w:r>
            <w:r w:rsidRPr="00542EC0">
              <w:t>Resource Collector</w:t>
            </w:r>
          </w:p>
        </w:tc>
        <w:tc>
          <w:tcPr>
            <w:tcW w:w="976" w:type="dxa"/>
            <w:noWrap/>
            <w:hideMark/>
          </w:tcPr>
          <w:p w14:paraId="538F9634" w14:textId="77777777" w:rsidR="00723E4E" w:rsidRPr="00542EC0" w:rsidRDefault="00723E4E" w:rsidP="001D2189">
            <w:pPr>
              <w:pStyle w:val="NoSpacing"/>
            </w:pP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35" w14:textId="77777777" w:rsidR="00723E4E" w:rsidRPr="00542EC0" w:rsidRDefault="00723E4E" w:rsidP="001D2189">
            <w:pPr>
              <w:pStyle w:val="NoSpacing"/>
            </w:pPr>
            <w:r w:rsidRPr="00542EC0">
              <w:t>22</w:t>
            </w:r>
          </w:p>
        </w:tc>
      </w:tr>
      <w:tr w:rsidR="00723E4E" w:rsidRPr="00542EC0" w14:paraId="538F963A" w14:textId="77777777" w:rsidTr="001D2189">
        <w:trPr>
          <w:trHeight w:val="300"/>
        </w:trPr>
        <w:tc>
          <w:tcPr>
            <w:tcW w:w="3556" w:type="dxa"/>
            <w:noWrap/>
            <w:hideMark/>
          </w:tcPr>
          <w:p w14:paraId="538F9637" w14:textId="77777777" w:rsidR="00723E4E" w:rsidRPr="00542EC0" w:rsidRDefault="00723E4E" w:rsidP="001D2189">
            <w:pPr>
              <w:pStyle w:val="NoSpacing"/>
            </w:pPr>
            <w:r>
              <w:t xml:space="preserve">   </w:t>
            </w:r>
            <w:r w:rsidRPr="00542EC0">
              <w:t>Resource Controller</w:t>
            </w:r>
          </w:p>
        </w:tc>
        <w:tc>
          <w:tcPr>
            <w:tcW w:w="976" w:type="dxa"/>
            <w:noWrap/>
            <w:hideMark/>
          </w:tcPr>
          <w:p w14:paraId="538F9638" w14:textId="77777777" w:rsidR="00723E4E" w:rsidRPr="00542EC0" w:rsidRDefault="00723E4E" w:rsidP="001D2189">
            <w:pPr>
              <w:pStyle w:val="NoSpacing"/>
            </w:pPr>
          </w:p>
        </w:tc>
        <w:tc>
          <w:tcPr>
            <w:tcW w:w="976" w:type="dxa"/>
            <w:shd w:val="clear" w:color="auto" w:fill="FFFF00"/>
            <w:noWrap/>
            <w:hideMark/>
          </w:tcPr>
          <w:p w14:paraId="538F9639" w14:textId="77777777" w:rsidR="00723E4E" w:rsidRPr="00542EC0" w:rsidRDefault="00723E4E" w:rsidP="001D2189">
            <w:pPr>
              <w:pStyle w:val="NoSpacing"/>
            </w:pPr>
            <w:r w:rsidRPr="00542EC0">
              <w:t>4</w:t>
            </w:r>
          </w:p>
        </w:tc>
      </w:tr>
    </w:tbl>
    <w:p w14:paraId="538F963B" w14:textId="77777777" w:rsidR="00723E4E" w:rsidRDefault="00723E4E" w:rsidP="00723E4E">
      <w:pPr>
        <w:pStyle w:val="NoSpacing"/>
        <w:numPr>
          <w:ilvl w:val="0"/>
          <w:numId w:val="6"/>
        </w:numPr>
      </w:pPr>
      <w:r>
        <w:t>Change from 25-&gt;26 to allow a full complement of collectors and controllers.</w:t>
      </w:r>
      <w:bookmarkStart w:id="0" w:name="_GoBack"/>
      <w:bookmarkEnd w:id="0"/>
    </w:p>
    <w:sectPr w:rsidR="00723E4E" w:rsidSect="00AE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E35"/>
    <w:multiLevelType w:val="hybridMultilevel"/>
    <w:tmpl w:val="25B4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A2B"/>
    <w:multiLevelType w:val="hybridMultilevel"/>
    <w:tmpl w:val="1A2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3A18"/>
    <w:multiLevelType w:val="hybridMultilevel"/>
    <w:tmpl w:val="C4C4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A07"/>
    <w:multiLevelType w:val="hybridMultilevel"/>
    <w:tmpl w:val="B5F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358EB"/>
    <w:multiLevelType w:val="hybridMultilevel"/>
    <w:tmpl w:val="F55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E2A"/>
    <w:multiLevelType w:val="hybridMultilevel"/>
    <w:tmpl w:val="E85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D755D"/>
    <w:multiLevelType w:val="hybridMultilevel"/>
    <w:tmpl w:val="39B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82387"/>
    <w:multiLevelType w:val="hybridMultilevel"/>
    <w:tmpl w:val="4ED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226F0"/>
    <w:multiLevelType w:val="hybridMultilevel"/>
    <w:tmpl w:val="1E5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720EB"/>
    <w:multiLevelType w:val="hybridMultilevel"/>
    <w:tmpl w:val="3864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A032A"/>
    <w:multiLevelType w:val="hybridMultilevel"/>
    <w:tmpl w:val="42AA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73C94"/>
    <w:multiLevelType w:val="hybridMultilevel"/>
    <w:tmpl w:val="F9F25AF8"/>
    <w:lvl w:ilvl="0" w:tplc="8D38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587B74"/>
    <w:multiLevelType w:val="hybridMultilevel"/>
    <w:tmpl w:val="5166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6B71"/>
    <w:multiLevelType w:val="hybridMultilevel"/>
    <w:tmpl w:val="73C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0"/>
  </w:num>
  <w:num w:numId="9">
    <w:abstractNumId w:val="13"/>
  </w:num>
  <w:num w:numId="10">
    <w:abstractNumId w:val="10"/>
  </w:num>
  <w:num w:numId="11">
    <w:abstractNumId w:val="3"/>
  </w:num>
  <w:num w:numId="12">
    <w:abstractNumId w:val="9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10"/>
    <w:rsid w:val="00041E2E"/>
    <w:rsid w:val="000629E3"/>
    <w:rsid w:val="000C1510"/>
    <w:rsid w:val="00104537"/>
    <w:rsid w:val="00117C98"/>
    <w:rsid w:val="001768E7"/>
    <w:rsid w:val="00192355"/>
    <w:rsid w:val="001A0324"/>
    <w:rsid w:val="001B583C"/>
    <w:rsid w:val="001D18BF"/>
    <w:rsid w:val="001D2189"/>
    <w:rsid w:val="0020296A"/>
    <w:rsid w:val="00241F72"/>
    <w:rsid w:val="0024677A"/>
    <w:rsid w:val="00253E9D"/>
    <w:rsid w:val="00257D0F"/>
    <w:rsid w:val="00265963"/>
    <w:rsid w:val="00296348"/>
    <w:rsid w:val="002C5D6D"/>
    <w:rsid w:val="002E1202"/>
    <w:rsid w:val="002E1461"/>
    <w:rsid w:val="002F4D93"/>
    <w:rsid w:val="003860B7"/>
    <w:rsid w:val="003E7236"/>
    <w:rsid w:val="004123DA"/>
    <w:rsid w:val="00423620"/>
    <w:rsid w:val="004428EC"/>
    <w:rsid w:val="004A07E4"/>
    <w:rsid w:val="00534E0F"/>
    <w:rsid w:val="00542EC0"/>
    <w:rsid w:val="005904E5"/>
    <w:rsid w:val="005D399C"/>
    <w:rsid w:val="005D4619"/>
    <w:rsid w:val="00644DCF"/>
    <w:rsid w:val="00723E4E"/>
    <w:rsid w:val="00724FA6"/>
    <w:rsid w:val="00744013"/>
    <w:rsid w:val="007A0EE5"/>
    <w:rsid w:val="007B78BD"/>
    <w:rsid w:val="007F23C4"/>
    <w:rsid w:val="008165EE"/>
    <w:rsid w:val="00850B92"/>
    <w:rsid w:val="00851BD8"/>
    <w:rsid w:val="00867FD3"/>
    <w:rsid w:val="008736CC"/>
    <w:rsid w:val="008972CE"/>
    <w:rsid w:val="008C0A10"/>
    <w:rsid w:val="00910A1F"/>
    <w:rsid w:val="009543F7"/>
    <w:rsid w:val="009620FF"/>
    <w:rsid w:val="009C3DE4"/>
    <w:rsid w:val="009D4181"/>
    <w:rsid w:val="009E0167"/>
    <w:rsid w:val="00A13BC1"/>
    <w:rsid w:val="00A4397A"/>
    <w:rsid w:val="00A45435"/>
    <w:rsid w:val="00A632E8"/>
    <w:rsid w:val="00A94945"/>
    <w:rsid w:val="00AA7C8B"/>
    <w:rsid w:val="00AB7AB9"/>
    <w:rsid w:val="00AE60FC"/>
    <w:rsid w:val="00B44DFE"/>
    <w:rsid w:val="00B71396"/>
    <w:rsid w:val="00C47BCD"/>
    <w:rsid w:val="00C6454E"/>
    <w:rsid w:val="00CB3064"/>
    <w:rsid w:val="00CD516C"/>
    <w:rsid w:val="00CD5B7D"/>
    <w:rsid w:val="00CE43BA"/>
    <w:rsid w:val="00D064E0"/>
    <w:rsid w:val="00D142BB"/>
    <w:rsid w:val="00E10A96"/>
    <w:rsid w:val="00E23CFF"/>
    <w:rsid w:val="00E8401A"/>
    <w:rsid w:val="00EA7383"/>
    <w:rsid w:val="00EB37F6"/>
    <w:rsid w:val="00F61453"/>
    <w:rsid w:val="00F84F6B"/>
    <w:rsid w:val="00FC2145"/>
    <w:rsid w:val="00FD4DEE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551"/>
  <w15:docId w15:val="{466B11B4-95E2-4170-A0D7-000A5F6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CD"/>
    <w:pPr>
      <w:spacing w:after="0" w:line="240" w:lineRule="auto"/>
    </w:pPr>
  </w:style>
  <w:style w:type="table" w:styleId="TableGrid">
    <w:name w:val="Table Grid"/>
    <w:basedOn w:val="TableNormal"/>
    <w:uiPriority w:val="59"/>
    <w:rsid w:val="0044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0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7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3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Kyle Moery</cp:lastModifiedBy>
  <cp:revision>49</cp:revision>
  <dcterms:created xsi:type="dcterms:W3CDTF">2015-07-15T14:41:00Z</dcterms:created>
  <dcterms:modified xsi:type="dcterms:W3CDTF">2015-07-16T04:55:00Z</dcterms:modified>
</cp:coreProperties>
</file>