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pPr>
      <w:r>
        <w:rPr>
          <w:rFonts w:ascii="Georgia" w:hAnsi="Georgia"/>
          <w:color w:val="B28B59"/>
          <w:sz w:val="34"/>
        </w:rPr>
        <w:t>RIAD 4 JARDINS</w:t>
      </w:r>
    </w:p>
    <w:p>
      <w:pPr>
        <w:pStyle w:val="Subtitle"/>
      </w:pPr>
      <w:r>
        <w:t>M A R R A K E C H</w:t>
      </w:r>
    </w:p>
    <w:p>
      <w:pPr>
        <w:pStyle w:val="Title"/>
        <w:spacing w:before="700"/>
        <w:pBdr>
          <w:bottom w:val="single" w:sz="8" w:color="B28B59" w:space="8"/>
        </w:pBdr>
      </w:pPr>
      <w:r>
        <w:t>Conditions de</w:t>
        <w:br/>
        <w:t>réservation</w:t>
        <w:br/>
        <w:t>&amp; de paiement</w:t>
      </w:r>
    </w:p>
    <w:p>
      <w:pPr>
        <w:pStyle w:val="Subtitle"/>
        <w:spacing w:after="600"/>
      </w:pPr>
      <w:r>
        <w:t>Un cadre clair pour préparer chaque séjour.</w:t>
      </w:r>
    </w:p>
    <w:tbl>
      <w:tblPr>
        <w:tblW w:type="auto" w:w="0"/>
        <w:tblLook w:firstColumn="1" w:firstRow="1" w:lastColumn="0" w:lastRow="0" w:noHBand="0" w:noVBand="1" w:val="04A0"/>
      </w:tblPr>
      <w:tblGrid>
        <w:gridCol w:w="9524"/>
      </w:tblGrid>
      <w:tr>
        <w:tc>
          <w:tcPr>
            <w:tcW w:type="dxa" w:w="9524"/>
            <w:shd w:fill="F5F0E9"/>
          </w:tcPr>
          <w:p>
            <w:pPr>
              <w:spacing w:before="200" w:after="200"/>
            </w:pPr>
            <w:r>
              <w:rPr>
                <w:b/>
              </w:rPr>
              <w:t>PROPOSITION ÉDITORIALE • VERSION DE TRAVAIL</w:t>
              <w:br/>
            </w:r>
            <w:r>
              <w:t>Document personnalisable pour les réservations directes du Riad 4 Jardins et son moteur HotelRunner. Les champs sur fond doré restent à renseigner. Les trois familles de tarifs sont proposées à titre de modèle et doivent correspondre aux offres réellement commercialisées.</w:t>
            </w:r>
          </w:p>
        </w:tc>
      </w:tr>
    </w:tbl>
    <w:p>
      <w:pPr>
        <w:spacing w:after="20"/>
      </w:pPr>
    </w:p>
    <w:p>
      <w:r>
        <w:rPr>
          <w:color w:val="6E5D53"/>
          <w:sz w:val="18"/>
        </w:rPr>
        <w:t>TARIF FLEXIBLE  /  NON REMBOURSABLE  /  OFFRES SPÉCIALES</w:t>
      </w:r>
    </w:p>
    <w:p>
      <w:pPr>
        <w:spacing w:before="500"/>
      </w:pPr>
      <w:r>
        <w:rPr>
          <w:sz w:val="20"/>
        </w:rPr>
        <w:t>riad4jardins@gmail.com  •  +212 808 653 506</w:t>
      </w:r>
    </w:p>
    <w:p>
      <w:r>
        <w:br w:type="page"/>
      </w:r>
    </w:p>
    <w:p>
      <w:r>
        <w:rPr>
          <w:color w:val="B28B59"/>
          <w:sz w:val="18"/>
        </w:rPr>
        <w:t>01  /  RÉSERVER VOTRE SÉJOUR</w:t>
      </w:r>
    </w:p>
    <w:p>
      <w:pPr>
        <w:pStyle w:val="Heading1"/>
      </w:pPr>
      <w:r>
        <w:t>1. Réservation</w:t>
      </w:r>
    </w:p>
    <w:p>
      <w:r>
        <w:t>Les présentes conditions concernent les réservations directes auprès du Riad 4 Jardins, à Marrakech, et celles effectuées via son moteur de réservation HotelRunner. Les réservations auprès d’un intermédiaire sont régies par les conditions communiquées lors de cette réservation.</w:t>
      </w:r>
    </w:p>
    <w:p>
      <w:r>
        <w:t xml:space="preserve">Avant de confirmer, le client vérifie ses dates, le nombre de voyageurs, la catégorie de chambre, les prestations incluses, le montant total et les conditions du tarif choisi. La réservation devient ferme après </w:t>
      </w:r>
      <w:r>
        <w:rPr>
          <w:b/>
          <w:color w:val="8A5A21"/>
          <w:shd w:fill="FFF0D6"/>
        </w:rPr>
        <w:t>[confirmation écrite de l’établissement / confirmation du moteur et réception du paiement requis — préciser le processus réel]</w:t>
      </w:r>
      <w:r>
        <w:t>. Le client reçoit un récapitulatif de sa réservation et des conditions applicables.</w:t>
      </w:r>
    </w:p>
    <w:p>
      <w:pPr>
        <w:pStyle w:val="Heading1"/>
      </w:pPr>
      <w:r>
        <w:t>2. Prix et prestations</w:t>
      </w:r>
    </w:p>
    <w:p>
      <w:r>
        <w:t xml:space="preserve">Les prix sont exprimés en </w:t>
      </w:r>
      <w:r>
        <w:rPr>
          <w:b/>
          <w:color w:val="8A5A21"/>
          <w:shd w:fill="FFF0D6"/>
        </w:rPr>
        <w:t>[devise de facturation]</w:t>
      </w:r>
      <w:r>
        <w:t xml:space="preserve">, pour </w:t>
      </w:r>
      <w:r>
        <w:rPr>
          <w:b/>
          <w:color w:val="8A5A21"/>
          <w:shd w:fill="FFF0D6"/>
        </w:rPr>
        <w:t>[une chambre et une nuit / préciser]</w:t>
      </w:r>
      <w:r>
        <w:t xml:space="preserve">, sur la base de l’occupation sélectionnée. Ils comprennent </w:t>
      </w:r>
      <w:r>
        <w:rPr>
          <w:b/>
          <w:color w:val="8A5A21"/>
          <w:shd w:fill="FFF0D6"/>
        </w:rPr>
        <w:t>[prestations incluses, notamment petit-déjeuner si applicable]</w:t>
      </w:r>
      <w:r>
        <w:t>.</w:t>
      </w:r>
    </w:p>
    <w:p>
      <w:r>
        <w:t xml:space="preserve">Les taxes de séjour sont </w:t>
      </w:r>
      <w:r>
        <w:rPr>
          <w:b/>
          <w:color w:val="8A5A21"/>
          <w:shd w:fill="FFF0D6"/>
        </w:rPr>
        <w:t>[incluses / non incluses]</w:t>
      </w:r>
      <w:r>
        <w:t xml:space="preserve">, à hauteur de </w:t>
      </w:r>
      <w:r>
        <w:rPr>
          <w:b/>
          <w:color w:val="8A5A21"/>
          <w:shd w:fill="FFF0D6"/>
        </w:rPr>
        <w:t>[montant et devise]</w:t>
      </w:r>
      <w:r>
        <w:t xml:space="preserve"> par </w:t>
      </w:r>
      <w:r>
        <w:rPr>
          <w:b/>
          <w:color w:val="8A5A21"/>
          <w:shd w:fill="FFF0D6"/>
        </w:rPr>
        <w:t>[personne et nuit, catégories concernées]</w:t>
      </w:r>
      <w:r>
        <w:t>. Les suppléments et prestations facultatives — transferts, restauration, soins au spa, excursions ou autres services — sont précisés avant leur validation.</w:t>
      </w:r>
    </w:p>
    <w:p>
      <w:r>
        <w:t>Pour une offre promotionnelle, les avantages, dates de validité, exclusions et conditions de cumul sont indiqués dans le descriptif de l’offre. Le total dû et les éventuels montants à régler sur place sont présentés avant confirmation.</w:t>
      </w:r>
    </w:p>
    <w:p>
      <w:r>
        <w:br w:type="page"/>
      </w:r>
    </w:p>
    <w:p>
      <w:r>
        <w:rPr>
          <w:color w:val="B28B59"/>
          <w:sz w:val="18"/>
        </w:rPr>
        <w:t>02  /  CHOISIR VOTRE TARIFICATION</w:t>
      </w:r>
    </w:p>
    <w:p>
      <w:pPr>
        <w:pStyle w:val="Heading1"/>
      </w:pPr>
      <w:r>
        <w:t>3. Conditions selon le tarif sélectionné</w:t>
      </w:r>
    </w:p>
    <w:p>
      <w:pPr>
        <w:pStyle w:val="Heading2"/>
      </w:pPr>
      <w:r>
        <w:t>Option A — Tarif flexible</w:t>
      </w:r>
    </w:p>
    <w:p>
      <w:pPr>
        <w:pStyle w:val="ListBullet"/>
      </w:pPr>
      <w:r>
        <w:t xml:space="preserve">Garantie ou acompte demandé : </w:t>
      </w:r>
      <w:r>
        <w:rPr>
          <w:b/>
          <w:color w:val="8A5A21"/>
          <w:shd w:fill="FFF0D6"/>
        </w:rPr>
        <w:t>[nature de la garantie / montant ou pourcentage de l’acompte et échéance]</w:t>
      </w:r>
      <w:r>
        <w:t>.</w:t>
      </w:r>
    </w:p>
    <w:p>
      <w:pPr>
        <w:pStyle w:val="ListBullet"/>
      </w:pPr>
      <w:r>
        <w:t xml:space="preserve">Solde : </w:t>
      </w:r>
      <w:r>
        <w:rPr>
          <w:b/>
          <w:color w:val="8A5A21"/>
          <w:shd w:fill="FFF0D6"/>
        </w:rPr>
        <w:t>[montant ou pourcentage et échéance]</w:t>
      </w:r>
      <w:r>
        <w:t>.</w:t>
      </w:r>
    </w:p>
    <w:p>
      <w:pPr>
        <w:pStyle w:val="ListBullet"/>
      </w:pPr>
      <w:r>
        <w:t xml:space="preserve">Annulation sans frais jusqu’au </w:t>
      </w:r>
      <w:r>
        <w:rPr>
          <w:b/>
          <w:color w:val="8A5A21"/>
          <w:shd w:fill="FFF0D6"/>
        </w:rPr>
        <w:t>[nombre]</w:t>
      </w:r>
      <w:r>
        <w:t xml:space="preserve"> jours avant l’arrivée, à </w:t>
      </w:r>
      <w:r>
        <w:rPr>
          <w:b/>
          <w:color w:val="8A5A21"/>
          <w:shd w:fill="FFF0D6"/>
        </w:rPr>
        <w:t>[heure]</w:t>
      </w:r>
      <w:r>
        <w:t>, heure locale de Marrakech.</w:t>
      </w:r>
    </w:p>
    <w:p>
      <w:pPr>
        <w:pStyle w:val="ListBullet"/>
      </w:pPr>
      <w:r>
        <w:t xml:space="preserve">Après cette échéance : frais de </w:t>
      </w:r>
      <w:r>
        <w:rPr>
          <w:b/>
          <w:color w:val="8A5A21"/>
          <w:shd w:fill="FFF0D6"/>
        </w:rPr>
        <w:t>[montant / pourcentage / nombre de nuits]</w:t>
      </w:r>
      <w:r>
        <w:t>.</w:t>
      </w:r>
    </w:p>
    <w:p>
      <w:pPr>
        <w:pStyle w:val="ListBullet"/>
      </w:pPr>
      <w:r>
        <w:t>En cas d’annulation sans frais, les sommes encaissées sont remboursées selon les modalités précisées à l’article 6.</w:t>
      </w:r>
    </w:p>
    <w:p>
      <w:pPr>
        <w:pStyle w:val="ListBullet"/>
      </w:pPr>
      <w:r>
        <w:t xml:space="preserve">Modification des dates : </w:t>
      </w:r>
      <w:r>
        <w:rPr>
          <w:b/>
          <w:color w:val="8A5A21"/>
          <w:shd w:fill="FFF0D6"/>
        </w:rPr>
        <w:t>[conditions, délai et éventuelle différence tarifaire]</w:t>
      </w:r>
      <w:r>
        <w:t>, sous réserve de disponibilité.</w:t>
      </w:r>
    </w:p>
    <w:p>
      <w:pPr>
        <w:pStyle w:val="Heading2"/>
      </w:pPr>
      <w:r>
        <w:t>Option B — Tarif non remboursable</w:t>
      </w:r>
    </w:p>
    <w:p>
      <w:pPr>
        <w:pStyle w:val="ListBullet"/>
      </w:pPr>
      <w:r>
        <w:t xml:space="preserve">Paiement : </w:t>
      </w:r>
      <w:r>
        <w:rPr>
          <w:b/>
          <w:color w:val="8A5A21"/>
          <w:shd w:fill="FFF0D6"/>
        </w:rPr>
        <w:t>[totalité / pourcentage]</w:t>
      </w:r>
      <w:r>
        <w:t xml:space="preserve"> du séjour à </w:t>
      </w:r>
      <w:r>
        <w:rPr>
          <w:b/>
          <w:color w:val="8A5A21"/>
          <w:shd w:fill="FFF0D6"/>
        </w:rPr>
        <w:t>[échéance]</w:t>
      </w:r>
      <w:r>
        <w:t>.</w:t>
      </w:r>
    </w:p>
    <w:p>
      <w:pPr>
        <w:pStyle w:val="ListBullet"/>
      </w:pPr>
      <w:r>
        <w:t xml:space="preserve">En cas d’annulation : </w:t>
      </w:r>
      <w:r>
        <w:rPr>
          <w:b/>
          <w:color w:val="8A5A21"/>
          <w:shd w:fill="FFF0D6"/>
        </w:rPr>
        <w:t>[montant exact non remboursable]</w:t>
      </w:r>
      <w:r>
        <w:t>.</w:t>
      </w:r>
    </w:p>
    <w:p>
      <w:pPr>
        <w:pStyle w:val="ListBullet"/>
      </w:pPr>
      <w:r>
        <w:t xml:space="preserve">Modification : </w:t>
      </w:r>
      <w:r>
        <w:rPr>
          <w:b/>
          <w:color w:val="8A5A21"/>
          <w:shd w:fill="FFF0D6"/>
        </w:rPr>
        <w:t>[non autorisée / autorisée selon les conditions suivantes : …]</w:t>
      </w:r>
      <w:r>
        <w:t>.</w:t>
      </w:r>
    </w:p>
    <w:p>
      <w:pPr>
        <w:pStyle w:val="ListBullet"/>
      </w:pPr>
      <w:r>
        <w:t>Le caractère non remboursable et les restrictions sont affichés avant confirmation.</w:t>
      </w:r>
    </w:p>
    <w:p>
      <w:pPr>
        <w:pStyle w:val="Heading2"/>
      </w:pPr>
      <w:r>
        <w:t>Option C — Offre long séjour ou promotionnelle</w:t>
      </w:r>
    </w:p>
    <w:p>
      <w:pPr>
        <w:pStyle w:val="ListBullet"/>
      </w:pPr>
      <w:r>
        <w:t xml:space="preserve">Offre concernée et durée minimale : </w:t>
      </w:r>
      <w:r>
        <w:rPr>
          <w:b/>
          <w:color w:val="8A5A21"/>
          <w:shd w:fill="FFF0D6"/>
        </w:rPr>
        <w:t>[nom et nombre de nuits]</w:t>
      </w:r>
      <w:r>
        <w:t>.</w:t>
      </w:r>
    </w:p>
    <w:p>
      <w:pPr>
        <w:pStyle w:val="ListBullet"/>
      </w:pPr>
      <w:r>
        <w:t xml:space="preserve">Prestations et avantages inclus : </w:t>
      </w:r>
      <w:r>
        <w:rPr>
          <w:b/>
          <w:color w:val="8A5A21"/>
          <w:shd w:fill="FFF0D6"/>
        </w:rPr>
        <w:t>[détail]</w:t>
      </w:r>
      <w:r>
        <w:t>.</w:t>
      </w:r>
    </w:p>
    <w:p>
      <w:pPr>
        <w:pStyle w:val="ListBullet"/>
      </w:pPr>
      <w:r>
        <w:t xml:space="preserve">Paiement : </w:t>
      </w:r>
      <w:r>
        <w:rPr>
          <w:b/>
          <w:color w:val="8A5A21"/>
          <w:shd w:fill="FFF0D6"/>
        </w:rPr>
        <w:t>[acompte et échéance, puis solde et échéance]</w:t>
      </w:r>
      <w:r>
        <w:t>.</w:t>
      </w:r>
    </w:p>
    <w:p>
      <w:pPr>
        <w:pStyle w:val="ListBullet"/>
      </w:pPr>
      <w:r>
        <w:t xml:space="preserve">Annulation et modification : </w:t>
      </w:r>
      <w:r>
        <w:rPr>
          <w:b/>
          <w:color w:val="8A5A21"/>
          <w:shd w:fill="FFF0D6"/>
        </w:rPr>
        <w:t>[reprendre précisément les règles applicables]</w:t>
      </w:r>
      <w:r>
        <w:t>.</w:t>
      </w:r>
    </w:p>
    <w:p>
      <w:pPr>
        <w:pStyle w:val="ListBullet"/>
      </w:pPr>
      <w:r>
        <w:t xml:space="preserve">Si une modification réduit la durée du séjour : </w:t>
      </w:r>
      <w:r>
        <w:rPr>
          <w:b/>
          <w:color w:val="8A5A21"/>
          <w:shd w:fill="FFF0D6"/>
        </w:rPr>
        <w:t>[maintien ou perte des avantages et mode de recalcul communiqué au client avant acceptation]</w:t>
      </w:r>
      <w:r>
        <w:t>.</w:t>
      </w:r>
    </w:p>
    <w:p>
      <w:r>
        <w:br w:type="page"/>
      </w:r>
    </w:p>
    <w:p>
      <w:r>
        <w:rPr>
          <w:color w:val="B28B59"/>
          <w:sz w:val="18"/>
        </w:rPr>
        <w:t>03  /  RÉGLER &amp; GÉRER UNE RÉSERVATION</w:t>
      </w:r>
    </w:p>
    <w:p>
      <w:pPr>
        <w:pStyle w:val="Heading1"/>
      </w:pPr>
      <w:r>
        <w:t>4. Moyens de paiement</w:t>
      </w:r>
    </w:p>
    <w:p>
      <w:r>
        <w:t xml:space="preserve">Le Riad accepte les cartes Visa et Mastercard. Le règlement est effectué </w:t>
      </w:r>
      <w:r>
        <w:rPr>
          <w:b/>
          <w:color w:val="8A5A21"/>
          <w:shd w:fill="FFF0D6"/>
        </w:rPr>
        <w:t>[en ligne via le prestataire effectivement utilisé / sur place / par lien de paiement — préciser les canaux disponibles]</w:t>
      </w:r>
      <w:r>
        <w:t>.</w:t>
      </w:r>
    </w:p>
    <w:p>
      <w:r>
        <w:t>Pour les paiements en ligne, une authentification peut être demandée par la banque du titulaire. Ne communiquez jamais votre numéro de carte complet ni votre cryptogramme par e-mail ou messagerie.</w:t>
      </w:r>
    </w:p>
    <w:p>
      <w:r>
        <w:t xml:space="preserve">La devise de débit est </w:t>
      </w:r>
      <w:r>
        <w:rPr>
          <w:b/>
          <w:color w:val="8A5A21"/>
          <w:shd w:fill="FFF0D6"/>
        </w:rPr>
        <w:t>[devise]</w:t>
      </w:r>
      <w:r>
        <w:t xml:space="preserve">. Les éventuels frais de change ou frais bancaires appliqués par la banque du client dépendent de son contrat bancaire. En cas d’échec de paiement, le client est invité à contacter l’établissement afin de régulariser sa réservation dans un délai de </w:t>
      </w:r>
      <w:r>
        <w:rPr>
          <w:b/>
          <w:color w:val="8A5A21"/>
          <w:shd w:fill="FFF0D6"/>
        </w:rPr>
        <w:t>[délai et procédure avant éventuelle annulation]</w:t>
      </w:r>
      <w:r>
        <w:t>.</w:t>
      </w:r>
    </w:p>
    <w:p>
      <w:pPr>
        <w:pStyle w:val="Heading1"/>
      </w:pPr>
      <w:r>
        <w:t>5. Annulation, non-présentation et départ anticipé</w:t>
      </w:r>
    </w:p>
    <w:p>
      <w:r>
        <w:t xml:space="preserve">Toute demande d’annulation ou de modification doit être adressée à </w:t>
      </w:r>
      <w:r>
        <w:rPr>
          <w:b/>
        </w:rPr>
        <w:t>riad4jardins@gmail.com</w:t>
      </w:r>
      <w:r>
        <w:t xml:space="preserve"> ou effectuée par </w:t>
      </w:r>
      <w:r>
        <w:rPr>
          <w:b/>
          <w:color w:val="8A5A21"/>
          <w:shd w:fill="FFF0D6"/>
        </w:rPr>
        <w:t>[canal autorisé]</w:t>
      </w:r>
      <w:r>
        <w:t>. Le client est invité à conserver la confirmation de prise en compte.</w:t>
      </w:r>
    </w:p>
    <w:p>
      <w:r>
        <w:t xml:space="preserve">Les frais dépendent du tarif accepté lors de la réservation. Une non-présentation correspond à </w:t>
      </w:r>
      <w:r>
        <w:rPr>
          <w:b/>
          <w:color w:val="8A5A21"/>
          <w:shd w:fill="FFF0D6"/>
        </w:rPr>
        <w:t>[définition, heure limite et procédure en cas d’arrivée tardive]</w:t>
      </w:r>
      <w:r>
        <w:t xml:space="preserve">. Elle entraîne des frais de </w:t>
      </w:r>
      <w:r>
        <w:rPr>
          <w:b/>
          <w:color w:val="8A5A21"/>
          <w:shd w:fill="FFF0D6"/>
        </w:rPr>
        <w:t>[montant ou règle par tarif]</w:t>
      </w:r>
      <w:r>
        <w:t xml:space="preserve">. En cas de départ anticipé, </w:t>
      </w:r>
      <w:r>
        <w:rPr>
          <w:b/>
          <w:color w:val="8A5A21"/>
          <w:shd w:fill="FFF0D6"/>
        </w:rPr>
        <w:t>[règle de facturation par tarif]</w:t>
      </w:r>
      <w:r>
        <w:t>.</w:t>
      </w:r>
    </w:p>
    <w:p>
      <w:r>
        <w:t xml:space="preserve">Si le client prévoit une arrivée tardive, il doit prévenir le Riad au </w:t>
      </w:r>
      <w:r>
        <w:rPr>
          <w:b/>
        </w:rPr>
        <w:t>+212 808 653 506</w:t>
      </w:r>
      <w:r>
        <w:t xml:space="preserve"> ou par e-mail.</w:t>
      </w:r>
    </w:p>
    <w:p>
      <w:pPr>
        <w:pStyle w:val="Heading1"/>
      </w:pPr>
      <w:r>
        <w:t>6. Remboursements</w:t>
      </w:r>
    </w:p>
    <w:p>
      <w:r>
        <w:t xml:space="preserve">Lorsqu’un remboursement est dû selon les conditions de la réservation, il est initié dans un délai de </w:t>
      </w:r>
      <w:r>
        <w:rPr>
          <w:b/>
          <w:color w:val="8A5A21"/>
          <w:shd w:fill="FFF0D6"/>
        </w:rPr>
        <w:t>[nombre]</w:t>
      </w:r>
      <w:r>
        <w:t xml:space="preserve"> jours à compter de </w:t>
      </w:r>
      <w:r>
        <w:rPr>
          <w:b/>
          <w:color w:val="8A5A21"/>
          <w:shd w:fill="FFF0D6"/>
        </w:rPr>
        <w:t>[événement déclencheur]</w:t>
      </w:r>
      <w:r>
        <w:t>, sur le moyen de paiement d’origine, sauf accord contraire approprié. Le délai d’apparition sur le compte dépend ensuite de la banque du client.</w:t>
      </w:r>
    </w:p>
    <w:p>
      <w:r>
        <w:br w:type="page"/>
      </w:r>
    </w:p>
    <w:p>
      <w:r>
        <w:rPr>
          <w:color w:val="B28B59"/>
          <w:sz w:val="18"/>
        </w:rPr>
        <w:t>04  /  PRÉPARER VOTRE ARRIVÉE</w:t>
      </w:r>
    </w:p>
    <w:p>
      <w:pPr>
        <w:pStyle w:val="Heading1"/>
      </w:pPr>
      <w:r>
        <w:t>7. Arrivée, départ et accueil</w:t>
      </w:r>
    </w:p>
    <w:p>
      <w:pPr>
        <w:pStyle w:val="ListBullet"/>
      </w:pPr>
      <w:r>
        <w:t xml:space="preserve">Arrivée à partir de </w:t>
      </w:r>
      <w:r>
        <w:rPr>
          <w:b/>
          <w:color w:val="8A5A21"/>
          <w:shd w:fill="FFF0D6"/>
        </w:rPr>
        <w:t>[heure]</w:t>
      </w:r>
      <w:r>
        <w:t xml:space="preserve"> ; départ avant </w:t>
      </w:r>
      <w:r>
        <w:rPr>
          <w:b/>
          <w:color w:val="8A5A21"/>
          <w:shd w:fill="FFF0D6"/>
        </w:rPr>
        <w:t>[heure]</w:t>
      </w:r>
      <w:r>
        <w:t>, heure locale de Marrakech.</w:t>
      </w:r>
    </w:p>
    <w:p>
      <w:pPr>
        <w:pStyle w:val="ListBullet"/>
      </w:pPr>
      <w:r>
        <w:t xml:space="preserve">Arrivée anticipée ou départ tardif : sous réserve de disponibilité, avec </w:t>
      </w:r>
      <w:r>
        <w:rPr>
          <w:b/>
          <w:color w:val="8A5A21"/>
          <w:shd w:fill="FFF0D6"/>
        </w:rPr>
        <w:t>[conditions et éventuel supplément]</w:t>
      </w:r>
      <w:r>
        <w:t>.</w:t>
      </w:r>
    </w:p>
    <w:p>
      <w:pPr>
        <w:pStyle w:val="ListBullet"/>
      </w:pPr>
      <w:r>
        <w:t xml:space="preserve">Documents nécessaires à l’accueil : </w:t>
      </w:r>
      <w:r>
        <w:rPr>
          <w:b/>
          <w:color w:val="8A5A21"/>
          <w:shd w:fill="FFF0D6"/>
        </w:rPr>
        <w:t>[documents requis par l’établissement]</w:t>
      </w:r>
      <w:r>
        <w:t>.</w:t>
      </w:r>
    </w:p>
    <w:p>
      <w:pPr>
        <w:pStyle w:val="ListBullet"/>
      </w:pPr>
      <w:r>
        <w:t xml:space="preserve">Enfants, lits supplémentaires et occupation maximale : </w:t>
      </w:r>
      <w:r>
        <w:rPr>
          <w:b/>
          <w:color w:val="8A5A21"/>
          <w:shd w:fill="FFF0D6"/>
        </w:rPr>
        <w:t>[âges, disponibilités, tarifs et règles par chambre]</w:t>
      </w:r>
      <w:r>
        <w:t>.</w:t>
      </w:r>
    </w:p>
    <w:p>
      <w:pPr>
        <w:pStyle w:val="Heading1"/>
      </w:pPr>
      <w:r>
        <w:t>8. Demandes particulières et prestations annexes</w:t>
      </w:r>
    </w:p>
    <w:p>
      <w:r>
        <w:t>Les demandes particulières restent soumises à confirmation écrite. Les prestations annexes réservées séparément peuvent avoir leurs propres conditions de paiement et d’annulation, communiquées avant acceptation.</w:t>
      </w:r>
    </w:p>
    <w:p>
      <w:pPr>
        <w:pStyle w:val="Heading1"/>
      </w:pPr>
      <w:r>
        <w:t>9. Impossibilité d’accueillir et situations exceptionnelles</w:t>
      </w:r>
    </w:p>
    <w:p>
      <w:r>
        <w:t xml:space="preserve">En cas d’impossibilité pour le Riad d’honorer la réservation, l’établissement informe le client et propose </w:t>
      </w:r>
      <w:r>
        <w:rPr>
          <w:b/>
          <w:color w:val="8A5A21"/>
          <w:shd w:fill="FFF0D6"/>
        </w:rPr>
        <w:t>[procédure de solution alternative et de remboursement à valider]</w:t>
      </w:r>
      <w:r>
        <w:t>. Les situations exceptionnelles sont examinées au regard des circonstances et des dispositions applicables.</w:t>
      </w:r>
    </w:p>
    <w:p>
      <w:pPr>
        <w:pStyle w:val="Heading1"/>
      </w:pPr>
      <w:r>
        <w:t>10. Contact et identification de l’établissement</w:t>
      </w:r>
    </w:p>
    <w:p>
      <w:r>
        <w:rPr>
          <w:b/>
        </w:rPr>
        <w:t>Riad 4 Jardins</w:t>
      </w:r>
    </w:p>
    <w:p>
      <w:r>
        <w:t xml:space="preserve">Adresse : </w:t>
      </w:r>
      <w:r>
        <w:rPr>
          <w:b/>
          <w:color w:val="8A5A21"/>
          <w:shd w:fill="FFF0D6"/>
        </w:rPr>
        <w:t>[adresse complète à Marrakech]</w:t>
      </w:r>
    </w:p>
    <w:p>
      <w:r>
        <w:t xml:space="preserve">Exploitant : </w:t>
      </w:r>
      <w:r>
        <w:rPr>
          <w:b/>
          <w:color w:val="8A5A21"/>
          <w:shd w:fill="FFF0D6"/>
        </w:rPr>
        <w:t>[raison sociale et informations d’identification]</w:t>
      </w:r>
    </w:p>
    <w:p>
      <w:r>
        <w:t>Téléphone : +212 808 653 506</w:t>
      </w:r>
    </w:p>
    <w:p>
      <w:r>
        <w:t>E-mail : riad4jardins@gmail.com</w:t>
      </w:r>
    </w:p>
    <w:p>
      <w:r>
        <w:t xml:space="preserve">Date de mise à jour : </w:t>
      </w:r>
      <w:r>
        <w:rPr>
          <w:b/>
          <w:color w:val="8A5A21"/>
          <w:shd w:fill="FFF0D6"/>
        </w:rPr>
        <w:t>[date]</w:t>
      </w:r>
    </w:p>
    <w:p>
      <w:r>
        <w:br w:type="page"/>
      </w:r>
    </w:p>
    <w:p>
      <w:r>
        <w:rPr>
          <w:color w:val="B28B59"/>
          <w:sz w:val="18"/>
        </w:rPr>
        <w:t>05  /  FICHE DE VALIDATION INTERNE</w:t>
      </w:r>
    </w:p>
    <w:tbl>
      <w:tblPr>
        <w:tblW w:type="auto" w:w="0"/>
        <w:tblLook w:firstColumn="1" w:firstRow="1" w:lastColumn="0" w:lastRow="0" w:noHBand="0" w:noVBand="1" w:val="04A0"/>
      </w:tblPr>
      <w:tblGrid>
        <w:gridCol w:w="9524"/>
      </w:tblGrid>
      <w:tr>
        <w:tc>
          <w:tcPr>
            <w:tcW w:type="dxa" w:w="9524"/>
            <w:shd w:fill="F5F0E9"/>
          </w:tcPr>
          <w:p>
            <w:pPr>
              <w:spacing w:before="200" w:after="200"/>
            </w:pPr>
            <w:r>
              <w:rPr>
                <w:b/>
              </w:rPr>
              <w:t>À COMPLÉTER AVANT DIFFUSION</w:t>
              <w:br/>
            </w:r>
            <w:r>
              <w:t>Cette dernière page est destinée à l’équipe du Riad. La retirer de la version destinée aux voyageurs après validation des informations et harmonisation avec HotelRunner.</w:t>
            </w:r>
          </w:p>
        </w:tc>
      </w:tr>
    </w:tbl>
    <w:p>
      <w:pPr>
        <w:spacing w:after="20"/>
      </w:pPr>
    </w:p>
    <w:p>
      <w:pPr>
        <w:pStyle w:val="Heading1"/>
      </w:pPr>
      <w:r>
        <w:t>Informations à confirmer avant publication</w:t>
      </w:r>
    </w:p>
    <w:p>
      <w:pPr>
        <w:pStyle w:val="ListNumber"/>
      </w:pPr>
      <w:r>
        <w:t>Tarifs réellement proposés et noms utilisés dans HotelRunner.</w:t>
      </w:r>
    </w:p>
    <w:p>
      <w:pPr>
        <w:pStyle w:val="ListNumber"/>
      </w:pPr>
      <w:r>
        <w:t>Acompte, garantie, échéancier et devise pour chaque tarif.</w:t>
      </w:r>
    </w:p>
    <w:p>
      <w:pPr>
        <w:pStyle w:val="ListNumber"/>
      </w:pPr>
      <w:r>
        <w:t>Délais et frais d’annulation, modification, non-présentation et départ anticipé.</w:t>
      </w:r>
    </w:p>
    <w:p>
      <w:pPr>
        <w:pStyle w:val="ListNumber"/>
      </w:pPr>
      <w:r>
        <w:t>Prestataire de paiement et canaux de paiement effectivement actifs.</w:t>
      </w:r>
    </w:p>
    <w:p>
      <w:pPr>
        <w:pStyle w:val="ListNumber"/>
      </w:pPr>
      <w:r>
        <w:t>Taxes, prestations incluses, suppléments et règles enfants.</w:t>
      </w:r>
    </w:p>
    <w:p>
      <w:pPr>
        <w:pStyle w:val="ListNumber"/>
      </w:pPr>
      <w:r>
        <w:t>Horaires, coordonnées administratives et procédure de remboursement.</w:t>
      </w:r>
    </w:p>
    <w:p>
      <w:r>
        <w:t>Après validation, publier une version sans champs entre crochets et la rendre accessible depuis le pied de page ainsi qu’avant la confirmation de réservation.</w:t>
      </w:r>
    </w:p>
    <w:p>
      <w:pPr>
        <w:pStyle w:val="Heading2"/>
      </w:pPr>
      <w:r>
        <w:t>Bon pour validation</w:t>
      </w:r>
    </w:p>
    <w:tbl>
      <w:tblPr>
        <w:tblW w:type="auto" w:w="0"/>
        <w:tblLayout w:type="fixed"/>
        <w:tblLook w:firstColumn="1" w:firstRow="1" w:lastColumn="0" w:lastRow="0" w:noHBand="0" w:noVBand="1" w:val="04A0"/>
      </w:tblPr>
      <w:tblGrid>
        <w:gridCol w:w="2835"/>
        <w:gridCol w:w="6690"/>
      </w:tblGrid>
      <w:tr>
        <w:tc>
          <w:tcPr>
            <w:tcW w:type="dxa" w:w="2835"/>
            <w:shd w:fill="F5F0E9"/>
          </w:tcPr>
          <w:p>
            <w:pPr>
              <w:spacing w:before="160" w:after="160"/>
            </w:pPr>
            <w:r>
              <w:rPr>
                <w:b/>
              </w:rPr>
              <w:t>Responsable</w:t>
            </w:r>
          </w:p>
        </w:tc>
        <w:tc>
          <w:tcPr>
            <w:tcW w:type="dxa" w:w="6690"/>
            <w:shd w:fill="F5F0E9"/>
          </w:tcPr>
          <w:p>
            <w:pPr>
              <w:spacing w:before="160" w:after="160"/>
            </w:pPr>
            <w:r>
              <w:t>[À compléter]</w:t>
            </w:r>
          </w:p>
        </w:tc>
      </w:tr>
      <w:tr>
        <w:tc>
          <w:tcPr>
            <w:tcW w:type="dxa" w:w="2835"/>
            <w:shd w:fill="F5F0E9"/>
          </w:tcPr>
          <w:p>
            <w:pPr>
              <w:spacing w:before="160" w:after="160"/>
            </w:pPr>
            <w:r>
              <w:rPr>
                <w:b/>
              </w:rPr>
              <w:t>Date de validation</w:t>
            </w:r>
          </w:p>
        </w:tc>
        <w:tc>
          <w:tcPr>
            <w:tcW w:type="dxa" w:w="6690"/>
            <w:shd w:fill="F5F0E9"/>
          </w:tcPr>
          <w:p>
            <w:pPr>
              <w:spacing w:before="160" w:after="160"/>
            </w:pPr>
            <w:r>
              <w:t>[À compléter]</w:t>
            </w:r>
          </w:p>
        </w:tc>
      </w:tr>
      <w:tr>
        <w:tc>
          <w:tcPr>
            <w:tcW w:type="dxa" w:w="2835"/>
            <w:shd w:fill="F5F0E9"/>
          </w:tcPr>
          <w:p>
            <w:pPr>
              <w:spacing w:before="160" w:after="160"/>
            </w:pPr>
            <w:r>
              <w:rPr>
                <w:b/>
              </w:rPr>
              <w:t>Version / référence</w:t>
            </w:r>
          </w:p>
        </w:tc>
        <w:tc>
          <w:tcPr>
            <w:tcW w:type="dxa" w:w="6690"/>
            <w:shd w:fill="F5F0E9"/>
          </w:tcPr>
          <w:p>
            <w:pPr>
              <w:spacing w:before="160" w:after="160"/>
            </w:pPr>
            <w:r>
              <w:t>[À compléter]</w:t>
            </w:r>
          </w:p>
        </w:tc>
      </w:tr>
      <w:tr>
        <w:tc>
          <w:tcPr>
            <w:tcW w:type="dxa" w:w="2835"/>
            <w:shd w:fill="F5F0E9"/>
          </w:tcPr>
          <w:p>
            <w:pPr>
              <w:spacing w:before="160" w:after="160"/>
            </w:pPr>
            <w:r>
              <w:rPr>
                <w:b/>
              </w:rPr>
              <w:t>Observations</w:t>
            </w:r>
          </w:p>
        </w:tc>
        <w:tc>
          <w:tcPr>
            <w:tcW w:type="dxa" w:w="6690"/>
            <w:shd w:fill="F5F0E9"/>
          </w:tcPr>
          <w:p>
            <w:pPr>
              <w:spacing w:before="160" w:after="160"/>
            </w:pPr>
            <w:r>
              <w:t>[À compléter]</w:t>
            </w:r>
          </w:p>
        </w:tc>
      </w:tr>
    </w:tbl>
    <w:sectPr w:rsidR="00FC693F" w:rsidRPr="0006063C" w:rsidSect="00034616">
      <w:headerReference w:type="default" r:id="rId9"/>
      <w:footerReference w:type="default" r:id="rId10"/>
      <w:pgSz w:w="11906" w:h="16838"/>
      <w:pgMar w:top="1191" w:right="1191" w:bottom="1020" w:left="1191"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E5D53"/>
        <w:sz w:val="16"/>
      </w:rPr>
      <w:t>MODÈLE À VALIDER  •  RÉSERVATION &amp; PAIEMENT</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color="B28B59" w:space="8"/>
      </w:pBdr>
    </w:pPr>
    <w:r>
      <w:rPr>
        <w:color w:val="6E5D53"/>
        <w:sz w:val="16"/>
      </w:rPr>
      <w:t>RIAD 4 JARDINS  /  MARRAKECH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fr-F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color w:val="2F24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80"/>
      <w:outlineLvl w:val="0"/>
    </w:pPr>
    <w:rPr>
      <w:rFonts w:asciiTheme="majorHAnsi" w:eastAsiaTheme="majorEastAsia" w:hAnsiTheme="majorHAnsi" w:cstheme="majorBidi" w:ascii="Georgia" w:hAnsi="Georgia"/>
      <w:b/>
      <w:bCs/>
      <w:color w:val="2F241E"/>
      <w:sz w:val="42"/>
      <w:szCs w:val="28"/>
    </w:rPr>
  </w:style>
  <w:style w:type="paragraph" w:styleId="Heading2">
    <w:name w:val="heading 2"/>
    <w:basedOn w:val="Normal"/>
    <w:next w:val="Normal"/>
    <w:link w:val="Heading2Char"/>
    <w:uiPriority w:val="9"/>
    <w:unhideWhenUsed/>
    <w:qFormat/>
    <w:rsid w:val="00FC693F"/>
    <w:pPr>
      <w:keepNext/>
      <w:keepLines/>
      <w:spacing w:before="260" w:after="180"/>
      <w:outlineLvl w:val="1"/>
    </w:pPr>
    <w:rPr>
      <w:rFonts w:asciiTheme="majorHAnsi" w:eastAsiaTheme="majorEastAsia" w:hAnsiTheme="majorHAnsi" w:cstheme="majorBidi" w:ascii="Georgia" w:hAnsi="Georgia"/>
      <w:b/>
      <w:bCs/>
      <w:color w:val="6E5D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260"/>
      <w:contextualSpacing/>
    </w:pPr>
    <w:rPr>
      <w:rFonts w:asciiTheme="majorHAnsi" w:eastAsiaTheme="majorEastAsia" w:hAnsiTheme="majorHAnsi" w:cstheme="majorBidi" w:ascii="Georgia" w:hAnsi="Georgia"/>
      <w:color w:val="2F241E"/>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80"/>
    </w:pPr>
    <w:rPr>
      <w:rFonts w:asciiTheme="majorHAnsi" w:eastAsiaTheme="majorEastAsia" w:hAnsiTheme="majorHAnsi" w:cstheme="majorBidi" w:ascii="Georgia" w:hAnsi="Georgia"/>
      <w:i/>
      <w:iCs/>
      <w:color w:val="6E5D53"/>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Riad 4 Jardins — Conditions de réservation et de paiement</dc:title>
  <dc:subject>Modèle personnalisable — validation des tarifications et paiements</dc:subject>
  <dc:creator>Riad 4 Jardins</dc:creator>
  <cp:keywords>Riad 4 Jardins, réservation, paiement, HotelRunner, modèle</cp:keywords>
  <dc:description>Version de travail. Compléter les champs et valider avant publication.</dc:description>
  <cp:lastModifiedBy/>
  <cp:revision>1</cp:revision>
  <dcterms:created xsi:type="dcterms:W3CDTF">2013-12-23T23:15:00Z</dcterms:created>
  <dcterms:modified xsi:type="dcterms:W3CDTF">2013-12-23T23:15:00Z</dcterms:modified>
  <cp:category/>
</cp:coreProperties>
</file>