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C534" w14:textId="77777777" w:rsidR="00FD3C94" w:rsidRPr="00CF0A05" w:rsidRDefault="00CF0A05" w:rsidP="00CF0A05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CF0A05">
        <w:rPr>
          <w:rFonts w:ascii="Times New Roman" w:eastAsia="標楷體" w:hAnsi="Times New Roman" w:cs="Times New Roman"/>
          <w:sz w:val="36"/>
          <w:szCs w:val="36"/>
        </w:rPr>
        <w:t>計量經濟</w:t>
      </w:r>
      <w:r w:rsidRPr="00CF0A05">
        <w:rPr>
          <w:rFonts w:ascii="Times New Roman" w:eastAsia="標楷體" w:hAnsi="Times New Roman" w:cs="Times New Roman"/>
          <w:sz w:val="36"/>
          <w:szCs w:val="36"/>
        </w:rPr>
        <w:t>HW0303</w:t>
      </w:r>
    </w:p>
    <w:p w14:paraId="5EDB3787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drawing>
          <wp:inline distT="0" distB="0" distL="0" distR="0" wp14:anchorId="48F89F85" wp14:editId="050C968C">
            <wp:extent cx="5274310" cy="33928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581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2.17</w:t>
      </w:r>
    </w:p>
    <w:p w14:paraId="3ABBB913" w14:textId="77777777" w:rsidR="00890837" w:rsidRDefault="00890837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a)</w:t>
      </w:r>
    </w:p>
    <w:p w14:paraId="4EB7E51E" w14:textId="77777777" w:rsidR="00CF0A05" w:rsidRDefault="00890837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EF83B8C" wp14:editId="241136AA">
            <wp:extent cx="2898840" cy="15468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93" cy="1575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D9A38" w14:textId="77777777" w:rsidR="00CF0A05" w:rsidRDefault="00890837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b)</w:t>
      </w:r>
    </w:p>
    <w:p w14:paraId="73724CE1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14:paraId="02FC3B5E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217E40B8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-316.93  -58.90   -3.81   47.94  477.05 </w:t>
      </w:r>
    </w:p>
    <w:p w14:paraId="038595D6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14:paraId="36D1E5B2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14:paraId="2D65A4EC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Estimate Std. Error t value Pr(&gt;|t|)    </w:t>
      </w:r>
    </w:p>
    <w:p w14:paraId="2F74C19C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(Intercept) -115.4236    13.0882  -8.819   &lt;2e-16 ***</w:t>
      </w:r>
    </w:p>
    <w:p w14:paraId="2D344947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sqft          13.4029     0.4492  29.840   &lt;2e-16 ***</w:t>
      </w:r>
    </w:p>
    <w:p w14:paraId="49EBE6D5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14:paraId="7A036280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EE6C2A1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14:paraId="25C59DB1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Residual standard error: 102.8 on 498 degrees of freedom</w:t>
      </w:r>
    </w:p>
    <w:p w14:paraId="293F44E0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0.6413,</w:t>
      </w: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0.6406 </w:t>
      </w:r>
    </w:p>
    <w:p w14:paraId="7B421A57" w14:textId="77777777" w:rsid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9083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890.4 on 1 and 498 DF,  p-value: &lt; 2.2e-16</w:t>
      </w:r>
    </w:p>
    <w:p w14:paraId="31F97B0F" w14:textId="77777777" w:rsid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14:paraId="4AF2C73D" w14:textId="77777777" w:rsidR="00890837" w:rsidRPr="00890837" w:rsidRDefault="00890837" w:rsidP="00890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</w:pPr>
      <w:r w:rsidRPr="00890837">
        <w:rPr>
          <w:rFonts w:ascii="Times New Roman" w:eastAsia="標楷體" w:hAnsi="Times New Roman" w:cs="Times New Roman"/>
          <w:color w:val="000000"/>
          <w:kern w:val="0"/>
          <w:sz w:val="26"/>
          <w:szCs w:val="26"/>
        </w:rPr>
        <w:t>係數為</w:t>
      </w:r>
      <w:r w:rsidRPr="00890837">
        <w:rPr>
          <w:rFonts w:ascii="Times New Roman" w:eastAsia="標楷體" w:hAnsi="Times New Roman" w:cs="Times New Roman"/>
          <w:color w:val="000000"/>
          <w:kern w:val="0"/>
          <w:sz w:val="26"/>
          <w:szCs w:val="26"/>
        </w:rPr>
        <w:t>13.4029</w:t>
      </w:r>
      <w:r w:rsidRPr="00890837">
        <w:rPr>
          <w:rFonts w:ascii="Times New Roman" w:eastAsia="標楷體" w:hAnsi="Times New Roman" w:cs="Times New Roman"/>
          <w:color w:val="000000"/>
          <w:kern w:val="0"/>
          <w:sz w:val="26"/>
          <w:szCs w:val="26"/>
        </w:rPr>
        <w:t>，表示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室內面積每增加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100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平方英尺，預計的價格會增加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13.4029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千美元，截距表示室內面積為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0</w:t>
      </w:r>
      <w:r>
        <w:rPr>
          <w:rFonts w:ascii="Times New Roman" w:eastAsia="標楷體" w:hAnsi="Times New Roman" w:cs="Times New Roman" w:hint="eastAsia"/>
          <w:color w:val="000000"/>
          <w:kern w:val="0"/>
          <w:sz w:val="26"/>
          <w:szCs w:val="26"/>
        </w:rPr>
        <w:t>時的價格，在此資料中不具經濟意義。</w:t>
      </w:r>
    </w:p>
    <w:p w14:paraId="5ED2525D" w14:textId="77777777" w:rsidR="00890837" w:rsidRPr="00890837" w:rsidRDefault="00890837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</w:p>
    <w:p w14:paraId="45AEA682" w14:textId="77777777" w:rsidR="00CF0A05" w:rsidRDefault="00890837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36AD234" wp14:editId="740EE270">
            <wp:extent cx="2964180" cy="1581726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12" cy="160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69235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4093D1F2" w14:textId="77777777" w:rsidR="00890837" w:rsidRDefault="00890837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 xml:space="preserve">c) </w:t>
      </w:r>
    </w:p>
    <w:p w14:paraId="01EA10D4" w14:textId="77777777" w:rsidR="00890837" w:rsidRDefault="00C84A0F" w:rsidP="00C84A0F">
      <w:pPr>
        <w:jc w:val="both"/>
        <w:rPr>
          <w:rStyle w:val="mord"/>
          <w:rFonts w:ascii="Times New Roman" w:hAnsi="Times New Roman" w:cs="Times New Roman"/>
          <w:sz w:val="26"/>
          <w:szCs w:val="26"/>
        </w:rPr>
      </w:pP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由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price</w:t>
      </w:r>
      <w:r w:rsidRPr="00C84A0F">
        <w:rPr>
          <w:rStyle w:val="mrel"/>
          <w:rFonts w:ascii="Times New Roman" w:eastAsia="標楷體" w:hAnsi="Times New Roman" w:cs="Times New Roman"/>
          <w:sz w:val="26"/>
          <w:szCs w:val="26"/>
        </w:rPr>
        <w:t>=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β0</w:t>
      </w:r>
      <w:r w:rsidRPr="00C84A0F">
        <w:rPr>
          <w:rStyle w:val="vlist-s"/>
          <w:rFonts w:ascii="Times New Roman" w:eastAsia="MS Gothic" w:hAnsi="Times New Roman" w:cs="Times New Roman"/>
          <w:sz w:val="26"/>
          <w:szCs w:val="26"/>
        </w:rPr>
        <w:t>​</w:t>
      </w:r>
      <w:r w:rsidRPr="00C84A0F">
        <w:rPr>
          <w:rStyle w:val="mbin"/>
          <w:rFonts w:ascii="Times New Roman" w:eastAsia="標楷體" w:hAnsi="Times New Roman" w:cs="Times New Roman"/>
          <w:sz w:val="26"/>
          <w:szCs w:val="26"/>
        </w:rPr>
        <w:t>+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β1</w:t>
      </w:r>
      <w:r w:rsidRPr="00C84A0F">
        <w:rPr>
          <w:rStyle w:val="vlist-s"/>
          <w:rFonts w:ascii="Times New Roman" w:eastAsia="MS Gothic" w:hAnsi="Times New Roman" w:cs="Times New Roman"/>
          <w:sz w:val="26"/>
          <w:szCs w:val="26"/>
        </w:rPr>
        <w:t>​</w:t>
      </w:r>
      <w:r w:rsidRPr="00C84A0F">
        <w:rPr>
          <w:rStyle w:val="mopen"/>
          <w:rFonts w:ascii="Times New Roman" w:eastAsia="標楷體" w:hAnsi="Times New Roman" w:cs="Times New Roman"/>
          <w:sz w:val="26"/>
          <w:szCs w:val="26"/>
        </w:rPr>
        <w:t>(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sqft</w:t>
      </w:r>
      <w:r w:rsidRPr="00C84A0F">
        <w:rPr>
          <w:rStyle w:val="mclose"/>
          <w:rFonts w:ascii="Times New Roman" w:eastAsia="標楷體" w:hAnsi="Times New Roman" w:cs="Times New Roman"/>
          <w:sz w:val="26"/>
          <w:szCs w:val="26"/>
        </w:rPr>
        <w:t>)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2</w:t>
      </w:r>
      <w:r w:rsidRPr="00C84A0F">
        <w:rPr>
          <w:rStyle w:val="mord"/>
          <w:rFonts w:ascii="Times New Roman" w:eastAsia="標楷體" w:hAnsi="Times New Roman" w:cs="Times New Roman"/>
          <w:sz w:val="26"/>
          <w:szCs w:val="26"/>
        </w:rPr>
        <w:t>，取偏微分</w:t>
      </w:r>
      <w:r>
        <w:rPr>
          <w:rStyle w:val="mord"/>
          <w:rFonts w:ascii="Times New Roman" w:eastAsia="標楷體" w:hAnsi="Times New Roman" w:cs="Times New Roman" w:hint="eastAsia"/>
          <w:sz w:val="26"/>
          <w:szCs w:val="26"/>
        </w:rPr>
        <w:t>得到邊際影響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d</w:t>
      </w:r>
      <w:r w:rsidRPr="00C84A0F">
        <w:rPr>
          <w:rStyle w:val="mopen"/>
          <w:rFonts w:ascii="Times New Roman" w:hAnsi="Times New Roman" w:cs="Times New Roman"/>
          <w:sz w:val="26"/>
          <w:szCs w:val="26"/>
        </w:rPr>
        <w:t>(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sqft</w:t>
      </w:r>
      <w:r w:rsidRPr="00C84A0F">
        <w:rPr>
          <w:rStyle w:val="mclose"/>
          <w:rFonts w:ascii="Times New Roman" w:hAnsi="Times New Roman" w:cs="Times New Roman"/>
          <w:sz w:val="26"/>
          <w:szCs w:val="26"/>
        </w:rPr>
        <w:t>)</w:t>
      </w:r>
      <w:r>
        <w:rPr>
          <w:rStyle w:val="mclose"/>
          <w:rFonts w:ascii="Times New Roman" w:hAnsi="Times New Roman" w:cs="Times New Roman" w:hint="eastAsia"/>
          <w:sz w:val="26"/>
          <w:szCs w:val="26"/>
        </w:rPr>
        <w:t>/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d</w:t>
      </w:r>
      <w:r w:rsidRPr="00C84A0F">
        <w:rPr>
          <w:rStyle w:val="mopen"/>
          <w:rFonts w:ascii="Times New Roman" w:hAnsi="Times New Roman" w:cs="Times New Roman"/>
          <w:sz w:val="26"/>
          <w:szCs w:val="26"/>
        </w:rPr>
        <w:t>(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price</w:t>
      </w:r>
      <w:r w:rsidRPr="00C84A0F">
        <w:rPr>
          <w:rStyle w:val="mclose"/>
          <w:rFonts w:ascii="Times New Roman" w:hAnsi="Times New Roman" w:cs="Times New Roman"/>
          <w:sz w:val="26"/>
          <w:szCs w:val="26"/>
        </w:rPr>
        <w:t>)</w:t>
      </w:r>
      <w:r w:rsidRPr="00C84A0F">
        <w:rPr>
          <w:rStyle w:val="vlist-s"/>
          <w:rFonts w:ascii="Times New Roman" w:hAnsi="Times New Roman" w:cs="Times New Roman"/>
          <w:sz w:val="26"/>
          <w:szCs w:val="26"/>
        </w:rPr>
        <w:t>​</w:t>
      </w:r>
      <w:r w:rsidRPr="00C84A0F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2β</w:t>
      </w:r>
      <w:r>
        <w:rPr>
          <w:rStyle w:val="mord"/>
          <w:rFonts w:ascii="Times New Roman" w:hAnsi="Times New Roman" w:cs="Times New Roman" w:hint="eastAsia"/>
          <w:sz w:val="26"/>
          <w:szCs w:val="26"/>
        </w:rPr>
        <w:t>2</w:t>
      </w:r>
      <w:r w:rsidRPr="00C84A0F">
        <w:rPr>
          <w:rStyle w:val="vlist-s"/>
          <w:rFonts w:ascii="Times New Roman" w:hAnsi="Times New Roman" w:cs="Times New Roman"/>
          <w:sz w:val="26"/>
          <w:szCs w:val="26"/>
        </w:rPr>
        <w:t>​</w:t>
      </w:r>
      <w:r w:rsidRPr="00C84A0F">
        <w:rPr>
          <w:rStyle w:val="mbin"/>
          <w:rFonts w:ascii="Cambria Math" w:hAnsi="Cambria Math" w:cs="Cambria Math"/>
          <w:sz w:val="26"/>
          <w:szCs w:val="26"/>
        </w:rPr>
        <w:t>⋅</w:t>
      </w:r>
      <w:r w:rsidRPr="00C84A0F">
        <w:rPr>
          <w:rStyle w:val="mord"/>
          <w:rFonts w:ascii="Times New Roman" w:hAnsi="Times New Roman" w:cs="Times New Roman"/>
          <w:sz w:val="26"/>
          <w:szCs w:val="26"/>
        </w:rPr>
        <w:t>sqft</w:t>
      </w:r>
    </w:p>
    <w:p w14:paraId="0B943550" w14:textId="77777777" w:rsidR="00C84A0F" w:rsidRPr="00C84A0F" w:rsidRDefault="00C84A0F" w:rsidP="00C84A0F">
      <w:pPr>
        <w:jc w:val="both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因此當</w:t>
      </w:r>
      <w:r>
        <w:rPr>
          <w:rFonts w:ascii="Times New Roman" w:eastAsia="標楷體" w:hAnsi="Times New Roman" w:cs="Times New Roman"/>
          <w:sz w:val="26"/>
          <w:szCs w:val="26"/>
        </w:rPr>
        <w:t>sqft = 20</w:t>
      </w:r>
      <w:r>
        <w:rPr>
          <w:rFonts w:ascii="Times New Roman" w:eastAsia="標楷體" w:hAnsi="Times New Roman" w:cs="Times New Roman" w:hint="eastAsia"/>
          <w:sz w:val="26"/>
          <w:szCs w:val="26"/>
        </w:rPr>
        <w:t>時，邊際影響為</w:t>
      </w:r>
      <w:r>
        <w:rPr>
          <w:rFonts w:ascii="Times New Roman" w:eastAsia="標楷體" w:hAnsi="Times New Roman" w:cs="Times New Roman" w:hint="eastAsia"/>
          <w:sz w:val="26"/>
          <w:szCs w:val="26"/>
        </w:rPr>
        <w:t>2 * 13.4029 * 20 = 536.116</w:t>
      </w:r>
      <w:r>
        <w:rPr>
          <w:rFonts w:ascii="Times New Roman" w:eastAsia="標楷體" w:hAnsi="Times New Roman" w:cs="Times New Roman" w:hint="eastAsia"/>
          <w:sz w:val="26"/>
          <w:szCs w:val="26"/>
        </w:rPr>
        <w:t>，即當室內面積為</w:t>
      </w:r>
      <w:r>
        <w:rPr>
          <w:rFonts w:ascii="Times New Roman" w:eastAsia="標楷體" w:hAnsi="Times New Roman" w:cs="Times New Roman" w:hint="eastAsia"/>
          <w:sz w:val="26"/>
          <w:szCs w:val="26"/>
        </w:rPr>
        <w:t>2000</w:t>
      </w:r>
      <w:r>
        <w:rPr>
          <w:rFonts w:ascii="Times New Roman" w:eastAsia="標楷體" w:hAnsi="Times New Roman" w:cs="Times New Roman" w:hint="eastAsia"/>
          <w:sz w:val="26"/>
          <w:szCs w:val="26"/>
        </w:rPr>
        <w:t>平方英尺時，室內面積每增加</w:t>
      </w:r>
      <w:r>
        <w:rPr>
          <w:rFonts w:ascii="Times New Roman" w:eastAsia="標楷體" w:hAnsi="Times New Roman" w:cs="Times New Roman" w:hint="eastAsia"/>
          <w:sz w:val="26"/>
          <w:szCs w:val="26"/>
        </w:rPr>
        <w:t>100</w:t>
      </w:r>
      <w:r>
        <w:rPr>
          <w:rFonts w:ascii="Times New Roman" w:eastAsia="標楷體" w:hAnsi="Times New Roman" w:cs="Times New Roman" w:hint="eastAsia"/>
          <w:sz w:val="26"/>
          <w:szCs w:val="26"/>
        </w:rPr>
        <w:t>平方英尺，價格會上升</w:t>
      </w:r>
      <w:r>
        <w:rPr>
          <w:rFonts w:ascii="Times New Roman" w:eastAsia="標楷體" w:hAnsi="Times New Roman" w:cs="Times New Roman" w:hint="eastAsia"/>
          <w:sz w:val="26"/>
          <w:szCs w:val="26"/>
        </w:rPr>
        <w:t>536.116</w:t>
      </w:r>
      <w:r>
        <w:rPr>
          <w:rFonts w:ascii="Times New Roman" w:eastAsia="標楷體" w:hAnsi="Times New Roman" w:cs="Times New Roman" w:hint="eastAsia"/>
          <w:sz w:val="26"/>
          <w:szCs w:val="26"/>
        </w:rPr>
        <w:t>千美元。</w:t>
      </w:r>
    </w:p>
    <w:p w14:paraId="4FCDFC8E" w14:textId="77777777" w:rsidR="00890837" w:rsidRDefault="00890837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7A11E2D0" wp14:editId="1B3736C8">
            <wp:extent cx="2971800" cy="158579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32" cy="160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EB0CA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47B0FE70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 xml:space="preserve">d) </w:t>
      </w:r>
    </w:p>
    <w:p w14:paraId="6C1DEC58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03D5BD1" wp14:editId="3CF82D81">
            <wp:extent cx="2987040" cy="1593925"/>
            <wp:effectExtent l="0" t="0" r="381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44" cy="1615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0EE1E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65BBE25E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lastRenderedPageBreak/>
        <w:t xml:space="preserve">(e) </w:t>
      </w:r>
    </w:p>
    <w:p w14:paraId="73E81872" w14:textId="77777777" w:rsidR="00CB553F" w:rsidRDefault="00CB553F" w:rsidP="00CB553F">
      <w:pPr>
        <w:widowControl/>
        <w:rPr>
          <w:rFonts w:ascii="Times New Roman" w:eastAsia="新細明體" w:hAnsi="Times New Roman" w:cs="Times New Roman"/>
          <w:kern w:val="0"/>
          <w:sz w:val="26"/>
          <w:szCs w:val="26"/>
        </w:rPr>
      </w:pP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Eprice, sqf</w:t>
      </w:r>
      <w:r>
        <w:rPr>
          <w:rFonts w:ascii="Times New Roman" w:eastAsia="新細明體" w:hAnsi="Times New Roman" w:cs="Times New Roman"/>
          <w:kern w:val="0"/>
          <w:sz w:val="26"/>
          <w:szCs w:val="26"/>
        </w:rPr>
        <w:t xml:space="preserve">t </w:t>
      </w:r>
      <w:r w:rsidRPr="00CB553F">
        <w:rPr>
          <w:rFonts w:ascii="Times New Roman" w:eastAsia="MS Gothic" w:hAnsi="Times New Roman" w:cs="Times New Roman"/>
          <w:kern w:val="0"/>
          <w:sz w:val="26"/>
          <w:szCs w:val="26"/>
        </w:rPr>
        <w:t>​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=</w:t>
      </w:r>
      <w:r>
        <w:rPr>
          <w:rFonts w:ascii="Times New Roman" w:eastAsia="新細明體" w:hAnsi="Times New Roman" w:cs="Times New Roman"/>
          <w:kern w:val="0"/>
          <w:sz w:val="26"/>
          <w:szCs w:val="26"/>
        </w:rPr>
        <w:t xml:space="preserve"> 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d(sqft)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/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d(price)</w:t>
      </w:r>
      <w:r w:rsidRPr="00CB553F">
        <w:rPr>
          <w:rFonts w:ascii="Times New Roman" w:eastAsia="MS Gothic" w:hAnsi="Times New Roman" w:cs="Times New Roman"/>
          <w:kern w:val="0"/>
          <w:sz w:val="26"/>
          <w:szCs w:val="26"/>
        </w:rPr>
        <w:t>​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×price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/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>sqft</w:t>
      </w:r>
      <w:r w:rsidRPr="00CB553F">
        <w:rPr>
          <w:rFonts w:ascii="Times New Roman" w:eastAsia="MS Gothic" w:hAnsi="Times New Roman" w:cs="Times New Roman"/>
          <w:kern w:val="0"/>
          <w:sz w:val="26"/>
          <w:szCs w:val="26"/>
        </w:rPr>
        <w:t>​</w:t>
      </w:r>
      <w:r w:rsidRPr="00CB553F">
        <w:rPr>
          <w:rFonts w:ascii="Times New Roman" w:eastAsia="新細明體" w:hAnsi="Times New Roman" w:cs="Times New Roman"/>
          <w:kern w:val="0"/>
          <w:sz w:val="26"/>
          <w:szCs w:val="26"/>
        </w:rPr>
        <w:t xml:space="preserve"> </w:t>
      </w:r>
    </w:p>
    <w:p w14:paraId="29FEC7A0" w14:textId="77777777" w:rsidR="00CB553F" w:rsidRDefault="00CB553F" w:rsidP="00CB553F">
      <w:pPr>
        <w:widowControl/>
        <w:rPr>
          <w:rFonts w:ascii="Times New Roman" w:eastAsia="新細明體" w:hAnsi="Times New Roman" w:cs="Times New Roman"/>
          <w:kern w:val="0"/>
          <w:sz w:val="26"/>
          <w:szCs w:val="26"/>
        </w:rPr>
      </w:pPr>
      <w:r>
        <w:rPr>
          <w:rFonts w:ascii="Times New Roman" w:eastAsia="新細明體" w:hAnsi="Times New Roman" w:cs="Times New Roman"/>
          <w:kern w:val="0"/>
          <w:sz w:val="26"/>
          <w:szCs w:val="26"/>
        </w:rPr>
        <w:t>Sqft = 20</w:t>
      </w:r>
      <w:r w:rsidRPr="00CB553F">
        <w:rPr>
          <w:rFonts w:ascii="標楷體" w:eastAsia="標楷體" w:hAnsi="標楷體" w:cs="Times New Roman" w:hint="eastAsia"/>
          <w:kern w:val="0"/>
          <w:sz w:val="26"/>
          <w:szCs w:val="26"/>
        </w:rPr>
        <w:t>時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，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p</w:t>
      </w:r>
      <w:r>
        <w:rPr>
          <w:rFonts w:ascii="Times New Roman" w:eastAsia="新細明體" w:hAnsi="Times New Roman" w:cs="Times New Roman"/>
          <w:kern w:val="0"/>
          <w:sz w:val="26"/>
          <w:szCs w:val="26"/>
        </w:rPr>
        <w:t xml:space="preserve">rice = 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167.3735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，</w:t>
      </w:r>
      <w:r>
        <w:rPr>
          <w:rFonts w:ascii="Times New Roman" w:eastAsia="新細明體" w:hAnsi="Times New Roman" w:cs="Times New Roman" w:hint="eastAsia"/>
          <w:kern w:val="0"/>
          <w:sz w:val="26"/>
          <w:szCs w:val="26"/>
        </w:rPr>
        <w:t>d</w:t>
      </w:r>
      <w:r>
        <w:rPr>
          <w:rFonts w:ascii="Times New Roman" w:eastAsia="新細明體" w:hAnsi="Times New Roman" w:cs="Times New Roman"/>
          <w:kern w:val="0"/>
          <w:sz w:val="26"/>
          <w:szCs w:val="26"/>
        </w:rPr>
        <w:t>(sqft)/d(price) = 536.116</w:t>
      </w:r>
    </w:p>
    <w:p w14:paraId="2E3D027E" w14:textId="77777777" w:rsidR="00CB553F" w:rsidRPr="00CB553F" w:rsidRDefault="00CB553F" w:rsidP="00CB553F">
      <w:pPr>
        <w:widowControl/>
        <w:rPr>
          <w:rFonts w:ascii="Times New Roman" w:eastAsia="標楷體" w:hAnsi="Times New Roman" w:cs="Times New Roman"/>
          <w:kern w:val="0"/>
          <w:sz w:val="26"/>
          <w:szCs w:val="26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因此彈性為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536.116 * 167.3735 / 20 = 4486.5806</w:t>
      </w:r>
    </w:p>
    <w:p w14:paraId="75956C8B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0072095C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 xml:space="preserve">f) </w:t>
      </w:r>
    </w:p>
    <w:p w14:paraId="31DDC173" w14:textId="77777777" w:rsidR="000478DE" w:rsidRDefault="000478DE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由於殘差的變異數隨著</w:t>
      </w:r>
      <w:r>
        <w:rPr>
          <w:rFonts w:ascii="Times New Roman" w:eastAsia="標楷體" w:hAnsi="Times New Roman" w:cs="Times New Roman" w:hint="eastAsia"/>
          <w:sz w:val="26"/>
          <w:szCs w:val="26"/>
        </w:rPr>
        <w:t>s</w:t>
      </w:r>
      <w:r>
        <w:rPr>
          <w:rFonts w:ascii="Times New Roman" w:eastAsia="標楷體" w:hAnsi="Times New Roman" w:cs="Times New Roman"/>
          <w:sz w:val="26"/>
          <w:szCs w:val="26"/>
        </w:rPr>
        <w:t>qft</w:t>
      </w:r>
      <w:r>
        <w:rPr>
          <w:rFonts w:ascii="Times New Roman" w:eastAsia="標楷體" w:hAnsi="Times New Roman" w:cs="Times New Roman" w:hint="eastAsia"/>
          <w:sz w:val="26"/>
          <w:szCs w:val="26"/>
        </w:rPr>
        <w:t>增長，表示資料違反了同質性假設。</w:t>
      </w:r>
    </w:p>
    <w:p w14:paraId="23532701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17F679C5" wp14:editId="65AA2E1D">
            <wp:extent cx="3798480" cy="2026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40" cy="204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C289E" w14:textId="77777777" w:rsidR="00CB553F" w:rsidRDefault="00CB553F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CB80D8A" wp14:editId="4BEC3C67">
            <wp:extent cx="3741420" cy="1996472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41" cy="201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F1007" w14:textId="77777777" w:rsidR="000478DE" w:rsidRDefault="000478DE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 xml:space="preserve">g) </w:t>
      </w:r>
    </w:p>
    <w:p w14:paraId="46969770" w14:textId="77777777" w:rsidR="000478DE" w:rsidRDefault="000478DE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線性回歸的</w:t>
      </w:r>
      <w:r>
        <w:rPr>
          <w:rFonts w:ascii="Times New Roman" w:eastAsia="標楷體" w:hAnsi="Times New Roman" w:cs="Times New Roman" w:hint="eastAsia"/>
          <w:sz w:val="26"/>
          <w:szCs w:val="26"/>
        </w:rPr>
        <w:t>SSE = 5262847</w:t>
      </w:r>
    </w:p>
    <w:p w14:paraId="1A3C74B0" w14:textId="77777777" w:rsidR="000478DE" w:rsidRDefault="000478DE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二次式回歸的</w:t>
      </w:r>
      <w:r>
        <w:rPr>
          <w:rFonts w:ascii="Times New Roman" w:eastAsia="標楷體" w:hAnsi="Times New Roman" w:cs="Times New Roman" w:hint="eastAsia"/>
          <w:sz w:val="26"/>
          <w:szCs w:val="26"/>
        </w:rPr>
        <w:t>SSE = 4222356</w:t>
      </w:r>
    </w:p>
    <w:p w14:paraId="1C5544FA" w14:textId="77777777" w:rsidR="000478DE" w:rsidRPr="00CB553F" w:rsidRDefault="000478DE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由於</w:t>
      </w:r>
      <w:r>
        <w:rPr>
          <w:rFonts w:ascii="Times New Roman" w:eastAsia="標楷體" w:hAnsi="Times New Roman" w:cs="Times New Roman" w:hint="eastAsia"/>
          <w:sz w:val="26"/>
          <w:szCs w:val="26"/>
        </w:rPr>
        <w:t>S</w:t>
      </w:r>
      <w:r>
        <w:rPr>
          <w:rFonts w:ascii="Times New Roman" w:eastAsia="標楷體" w:hAnsi="Times New Roman" w:cs="Times New Roman"/>
          <w:sz w:val="26"/>
          <w:szCs w:val="26"/>
        </w:rPr>
        <w:t>SE</w:t>
      </w:r>
      <w:r>
        <w:rPr>
          <w:rFonts w:ascii="Times New Roman" w:eastAsia="標楷體" w:hAnsi="Times New Roman" w:cs="Times New Roman" w:hint="eastAsia"/>
          <w:sz w:val="26"/>
          <w:szCs w:val="26"/>
        </w:rPr>
        <w:t>表示的是殘差的平方和，越小的</w:t>
      </w:r>
      <w:r>
        <w:rPr>
          <w:rFonts w:ascii="Times New Roman" w:eastAsia="標楷體" w:hAnsi="Times New Roman" w:cs="Times New Roman" w:hint="eastAsia"/>
          <w:sz w:val="26"/>
          <w:szCs w:val="26"/>
        </w:rPr>
        <w:t>SSE</w:t>
      </w:r>
      <w:r>
        <w:rPr>
          <w:rFonts w:ascii="Times New Roman" w:eastAsia="標楷體" w:hAnsi="Times New Roman" w:cs="Times New Roman" w:hint="eastAsia"/>
          <w:sz w:val="26"/>
          <w:szCs w:val="26"/>
        </w:rPr>
        <w:t>表示越接近真實資料，因此二次式的擬合程度較好。</w:t>
      </w:r>
    </w:p>
    <w:p w14:paraId="0E43F7C6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lastRenderedPageBreak/>
        <w:drawing>
          <wp:inline distT="0" distB="0" distL="0" distR="0" wp14:anchorId="40D60A05" wp14:editId="6E4B2A0B">
            <wp:extent cx="5274310" cy="2515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52F4F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2.25</w:t>
      </w:r>
    </w:p>
    <w:p w14:paraId="7074D55E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4D2A7806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714B6833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74E96D8D" w14:textId="77777777" w:rsidR="00CF0A05" w:rsidRDefault="00CF0A05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</w:p>
    <w:p w14:paraId="3A1CB255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drawing>
          <wp:inline distT="0" distB="0" distL="0" distR="0" wp14:anchorId="7EA426F9" wp14:editId="7A782699">
            <wp:extent cx="5274310" cy="24561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74F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2.28</w:t>
      </w:r>
    </w:p>
    <w:p w14:paraId="5EA69922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384D9BDF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146190C8" w14:textId="77777777" w:rsidR="00CF0A05" w:rsidRDefault="00CF0A05" w:rsidP="00CF0A05">
      <w:pPr>
        <w:rPr>
          <w:rFonts w:ascii="Times New Roman" w:eastAsia="標楷體" w:hAnsi="Times New Roman" w:cs="Times New Roman"/>
          <w:sz w:val="26"/>
          <w:szCs w:val="26"/>
        </w:rPr>
      </w:pPr>
    </w:p>
    <w:p w14:paraId="7DFC092B" w14:textId="77777777" w:rsidR="00CF0A05" w:rsidRPr="00CF0A05" w:rsidRDefault="00CF0A05" w:rsidP="00CF0A05">
      <w:pPr>
        <w:rPr>
          <w:rFonts w:ascii="Times New Roman" w:eastAsia="標楷體" w:hAnsi="Times New Roman" w:cs="Times New Roman" w:hint="eastAsia"/>
          <w:sz w:val="26"/>
          <w:szCs w:val="26"/>
        </w:rPr>
      </w:pPr>
    </w:p>
    <w:sectPr w:rsidR="00CF0A05" w:rsidRPr="00CF0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05"/>
    <w:rsid w:val="000478DE"/>
    <w:rsid w:val="005F0583"/>
    <w:rsid w:val="00890837"/>
    <w:rsid w:val="00C84A0F"/>
    <w:rsid w:val="00CB553F"/>
    <w:rsid w:val="00CF0A05"/>
    <w:rsid w:val="00D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8A1CC1"/>
  <w15:chartTrackingRefBased/>
  <w15:docId w15:val="{E6A17A24-EE22-4409-B062-EA4CA240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0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90837"/>
    <w:rPr>
      <w:rFonts w:ascii="細明體" w:eastAsia="細明體" w:hAnsi="細明體" w:cs="細明體"/>
      <w:kern w:val="0"/>
      <w:szCs w:val="24"/>
    </w:rPr>
  </w:style>
  <w:style w:type="character" w:customStyle="1" w:styleId="gntyacmbb4b">
    <w:name w:val="gntyacmbb4b"/>
    <w:basedOn w:val="a0"/>
    <w:rsid w:val="00890837"/>
  </w:style>
  <w:style w:type="character" w:customStyle="1" w:styleId="mord">
    <w:name w:val="mord"/>
    <w:basedOn w:val="a0"/>
    <w:rsid w:val="00C84A0F"/>
  </w:style>
  <w:style w:type="character" w:customStyle="1" w:styleId="mrel">
    <w:name w:val="mrel"/>
    <w:basedOn w:val="a0"/>
    <w:rsid w:val="00C84A0F"/>
  </w:style>
  <w:style w:type="character" w:customStyle="1" w:styleId="vlist-s">
    <w:name w:val="vlist-s"/>
    <w:basedOn w:val="a0"/>
    <w:rsid w:val="00C84A0F"/>
  </w:style>
  <w:style w:type="character" w:customStyle="1" w:styleId="mbin">
    <w:name w:val="mbin"/>
    <w:basedOn w:val="a0"/>
    <w:rsid w:val="00C84A0F"/>
  </w:style>
  <w:style w:type="character" w:customStyle="1" w:styleId="mopen">
    <w:name w:val="mopen"/>
    <w:basedOn w:val="a0"/>
    <w:rsid w:val="00C84A0F"/>
  </w:style>
  <w:style w:type="character" w:customStyle="1" w:styleId="mclose">
    <w:name w:val="mclose"/>
    <w:basedOn w:val="a0"/>
    <w:rsid w:val="00C8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2025-03-07T12:35:00Z</dcterms:created>
  <dcterms:modified xsi:type="dcterms:W3CDTF">2025-03-07T13:35:00Z</dcterms:modified>
</cp:coreProperties>
</file>