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100" w:beforeAutospacing="1" w:after="100" w:afterAutospacing="1"/>
        <w:rPr>
          <w:rFonts w:ascii="Arial" w:hAnsi="Arial" w:eastAsia="新細明體" w:cs="Arial"/>
          <w:color w:val="222222"/>
          <w:kern w:val="0"/>
          <w:szCs w:val="24"/>
        </w:rPr>
      </w:pPr>
      <w:r>
        <w:rPr>
          <w:rFonts w:ascii="Arial" w:hAnsi="Arial" w:eastAsia="新細明體" w:cs="Arial"/>
          <w:color w:val="222222"/>
          <w:kern w:val="0"/>
          <w:szCs w:val="24"/>
        </w:rPr>
        <w:t>HW0913</w:t>
      </w:r>
    </w:p>
    <w:p>
      <w:pPr>
        <w:widowControl/>
        <w:shd w:val="clear" w:color="auto" w:fill="FFFFFF"/>
        <w:spacing w:before="100" w:beforeAutospacing="1" w:after="100" w:afterAutospacing="1"/>
        <w:rPr>
          <w:rFonts w:ascii="Arial" w:hAnsi="Arial" w:eastAsia="新細明體" w:cs="Arial"/>
          <w:color w:val="222222"/>
          <w:kern w:val="0"/>
          <w:szCs w:val="24"/>
        </w:rPr>
      </w:pPr>
      <w:r>
        <w:rPr>
          <w:rFonts w:ascii="Arial" w:hAnsi="Arial" w:eastAsia="新細明體" w:cs="Arial"/>
          <w:color w:val="222222"/>
          <w:kern w:val="0"/>
          <w:szCs w:val="24"/>
        </w:rPr>
        <w:t>CH01.04_Q26 編碼的意思  Chapter 1, Section 4, Question 26. </w:t>
      </w:r>
    </w:p>
    <w:p>
      <w:pPr>
        <w:widowControl/>
        <w:shd w:val="clear" w:color="auto" w:fill="FFFFFF"/>
        <w:spacing w:before="100" w:beforeAutospacing="1" w:after="100" w:afterAutospacing="1"/>
        <w:rPr>
          <w:rFonts w:ascii="Arial" w:hAnsi="Arial" w:eastAsia="新細明體" w:cs="Arial"/>
          <w:color w:val="222222"/>
          <w:kern w:val="0"/>
          <w:szCs w:val="24"/>
        </w:rPr>
      </w:pPr>
      <w:r>
        <w:rPr>
          <w:rFonts w:ascii="Arial" w:hAnsi="Arial" w:eastAsia="新細明體" w:cs="Arial"/>
          <w:color w:val="222222"/>
          <w:kern w:val="0"/>
          <w:szCs w:val="24"/>
        </w:rPr>
        <w:t>這次的作業有6題 如下 </w:t>
      </w:r>
    </w:p>
    <w:tbl>
      <w:tblPr>
        <w:tblStyle w:val="5"/>
        <w:tblW w:w="3400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2"/>
        <w:gridCol w:w="307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1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CH01.04_Q26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2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CH02.01_Q02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3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CH02.02_Q14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4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CH02.04_Q02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5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CH02.04_Q20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32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6</w:t>
            </w:r>
          </w:p>
        </w:tc>
        <w:tc>
          <w:tcPr>
            <w:tcW w:w="307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Arial" w:hAnsi="Arial" w:eastAsia="新細明體" w:cs="Arial"/>
                <w:color w:val="222222"/>
                <w:kern w:val="0"/>
                <w:szCs w:val="24"/>
              </w:rPr>
            </w:pPr>
            <w:r>
              <w:rPr>
                <w:rFonts w:ascii="Arial" w:hAnsi="Arial" w:eastAsia="新細明體" w:cs="Arial"/>
                <w:color w:val="222222"/>
                <w:kern w:val="0"/>
                <w:szCs w:val="24"/>
              </w:rPr>
              <w:t>CH02.04_Q24</w:t>
            </w:r>
          </w:p>
        </w:tc>
      </w:tr>
    </w:tbl>
    <w:p/>
    <w:p>
      <w:r>
        <w:rPr>
          <w:rFonts w:hint="eastAsia"/>
        </w:rPr>
        <w:t>1</w:t>
      </w:r>
      <w:r>
        <w:t xml:space="preserve">. </w:t>
      </w:r>
    </w:p>
    <w:p>
      <w:r>
        <w:drawing>
          <wp:inline distT="0" distB="0" distL="0" distR="0">
            <wp:extent cx="3663950" cy="39052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"/>
        </w:rPr>
      </w:pPr>
      <w:r>
        <w:t xml:space="preserve">50 筆數據，範圍從 </w:t>
      </w:r>
      <w:r>
        <w:rPr>
          <w:rStyle w:val="4"/>
        </w:rPr>
        <w:t>30 到 55</w:t>
      </w:r>
    </w:p>
    <w:tbl>
      <w:tblPr>
        <w:tblStyle w:val="5"/>
        <w:tblW w:w="300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156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AVG</w:t>
            </w:r>
          </w:p>
        </w:tc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39.08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MAX</w:t>
            </w:r>
          </w:p>
        </w:tc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MIN</w:t>
            </w:r>
          </w:p>
        </w:tc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</w:tr>
    </w:tbl>
    <w:p>
      <w:pPr>
        <w:rPr>
          <w:rStyle w:val="4"/>
        </w:rPr>
      </w:pPr>
    </w:p>
    <w:p>
      <w:r>
        <w:rPr>
          <w:rFonts w:hint="eastAsia"/>
        </w:rPr>
        <w:t>第一類的下限設為30，類寬設為5個月。</w:t>
      </w:r>
      <w:r>
        <w:t>可以將數據分成 5 個區間（bins），</w:t>
      </w:r>
    </w:p>
    <w:p>
      <w:r>
        <w:t>相對頻率 = 該區間筆數 ÷ 總筆數（50）</w:t>
      </w:r>
    </w:p>
    <w:tbl>
      <w:tblPr>
        <w:tblStyle w:val="5"/>
        <w:tblW w:w="609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55"/>
        <w:gridCol w:w="1984"/>
        <w:gridCol w:w="2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Range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Relative Frequency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30-34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35-39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40-44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45-49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>
            <w:r>
              <w:rPr>
                <w:rFonts w:hint="eastAsia"/>
              </w:rPr>
              <w:t>50-55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3" w:hRule="atLeast"/>
        </w:trPr>
        <w:tc>
          <w:tcPr>
            <w:tcW w:w="1555" w:type="dxa"/>
            <w:vAlign w:val="center"/>
          </w:tcPr>
          <w:p/>
        </w:tc>
        <w:tc>
          <w:tcPr>
            <w:tcW w:w="198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552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</w:tbl>
    <w:p/>
    <w:p>
      <w:pPr>
        <w:rPr>
          <w:rFonts w:hint="eastAsia"/>
        </w:rPr>
      </w:pPr>
      <w:r>
        <w:t>a.</w:t>
      </w:r>
    </w:p>
    <w:p>
      <w:r>
        <w:drawing>
          <wp:inline distT="0" distB="0" distL="0" distR="0">
            <wp:extent cx="4584700" cy="2755900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</w:t>
      </w:r>
      <w:r>
        <w:t>.</w:t>
      </w:r>
      <w:r>
        <w:rPr>
          <w:rFonts w:hint="eastAsia"/>
        </w:rPr>
        <w:t xml:space="preserve"> 年齡在 35 個月及以上，但未滿 45 個月的兒童佔比是多少？5</w:t>
      </w:r>
      <w:r>
        <w:t>4%</w:t>
      </w:r>
    </w:p>
    <w:p/>
    <w:tbl>
      <w:tblPr>
        <w:tblStyle w:val="5"/>
        <w:tblW w:w="44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1560"/>
        <w:gridCol w:w="1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vAlign w:val="center"/>
          </w:tcPr>
          <w:p>
            <w:r>
              <w:rPr>
                <w:rFonts w:hint="eastAsia"/>
              </w:rPr>
              <w:t>Range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Relative Frequency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35-39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40-44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24%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t>Total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44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4%</w:t>
            </w:r>
          </w:p>
        </w:tc>
      </w:tr>
    </w:tbl>
    <w:p/>
    <w:p>
      <w:pPr>
        <w:rPr>
          <w:rFonts w:hint="eastAsia"/>
        </w:rPr>
      </w:pPr>
      <w:r>
        <w:rPr>
          <w:rFonts w:hint="eastAsia"/>
        </w:rPr>
        <w:t>c. 如果從這組孩子中隨機選擇一個孩子，那麼這個孩子第一次入讀幼稚園時，</w:t>
      </w:r>
    </w:p>
    <w:p>
      <w:r>
        <w:rPr>
          <w:rFonts w:hint="eastAsia"/>
        </w:rPr>
        <w:t>年齡不到 50 個月的機率是多少？</w:t>
      </w:r>
    </w:p>
    <w:p>
      <w:r>
        <w:t>從資料中找出小於 50 的數值：總人數 = 50 小於 50 的人數 = 47</w:t>
      </w:r>
    </w:p>
    <w:p>
      <w:r>
        <w:t>所以機率為：</w:t>
      </w:r>
      <w:r>
        <w:rPr>
          <w:rFonts w:hint="eastAsia"/>
        </w:rPr>
        <w:t>4</w:t>
      </w:r>
      <w:r>
        <w:t>7/50=94%</w:t>
      </w:r>
    </w:p>
    <w:p/>
    <w:p>
      <w:r>
        <w:rPr>
          <w:rFonts w:hint="eastAsia"/>
        </w:rPr>
        <w:t>2</w:t>
      </w:r>
      <w:r>
        <w:t>.</w:t>
      </w:r>
    </w:p>
    <w:p>
      <w:r>
        <w:drawing>
          <wp:inline distT="0" distB="0" distL="0" distR="0">
            <wp:extent cx="3606800" cy="876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997200" cy="247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  <w:color w:val="001D35"/>
          <w:shd w:val="clear" w:color="auto" w:fill="FFFFFF"/>
        </w:rPr>
        <w:t>"mean" 指的是</w:t>
      </w:r>
      <w:r>
        <w:rPr>
          <w:rFonts w:cstheme="minorHAnsi"/>
        </w:rPr>
        <w:t>平均數（或稱平均值、算術平均數）: 4</w:t>
      </w:r>
    </w:p>
    <w:p>
      <w:pPr>
        <w:rPr>
          <w:rFonts w:cstheme="minorHAnsi"/>
        </w:rPr>
      </w:pPr>
      <w:r>
        <w:rPr>
          <w:rFonts w:cstheme="minorHAnsi"/>
        </w:rPr>
        <w:t>“median”</w:t>
      </w:r>
      <w:r>
        <w:rPr>
          <w:rFonts w:cstheme="minorHAnsi"/>
          <w:color w:val="001D35"/>
          <w:shd w:val="clear" w:color="auto" w:fill="FFFFFF"/>
        </w:rPr>
        <w:t>（中位數）是</w:t>
      </w:r>
      <w:r>
        <w:rPr>
          <w:rFonts w:cstheme="minorHAnsi"/>
        </w:rPr>
        <w:t>一組按順序排列的數據中居於中間位置的數值計算方法，是先將所有數值由小到大排列，若為偶數，則為中間兩個數值的平均數: 4</w:t>
      </w:r>
    </w:p>
    <w:p>
      <w:pPr>
        <w:rPr>
          <w:rFonts w:cstheme="minorHAnsi"/>
        </w:rPr>
      </w:pPr>
      <w:r>
        <w:rPr>
          <w:rFonts w:cstheme="minorHAnsi"/>
        </w:rPr>
        <w:t>“mode”</w:t>
      </w:r>
      <w:r>
        <w:rPr>
          <w:rFonts w:hint="eastAsia"/>
        </w:rPr>
        <w:t xml:space="preserve"> </w:t>
      </w:r>
      <w:r>
        <w:rPr>
          <w:rFonts w:hint="eastAsia" w:cstheme="minorHAnsi"/>
        </w:rPr>
        <w:t>眾數指一組數據中出現次數最多的數據值:</w:t>
      </w:r>
      <w:r>
        <w:rPr>
          <w:rFonts w:cstheme="minorHAnsi"/>
        </w:rPr>
        <w:t xml:space="preserve"> 3, 4, 5都各出現</w:t>
      </w:r>
      <w:r>
        <w:rPr>
          <w:rFonts w:hint="eastAsia" w:cstheme="minorHAnsi"/>
        </w:rPr>
        <w:t>2次</w:t>
      </w:r>
    </w:p>
    <w:p>
      <w:pPr>
        <w:rPr>
          <w:rFonts w:cstheme="minorHAnsi"/>
        </w:rPr>
      </w:pPr>
    </w:p>
    <w:p>
      <w:pPr>
        <w:rPr>
          <w:rFonts w:hint="eastAsia" w:cstheme="minorHAnsi"/>
        </w:rPr>
      </w:pPr>
      <w:r>
        <w:drawing>
          <wp:inline distT="0" distB="0" distL="114300" distR="114300">
            <wp:extent cx="4572000" cy="2902585"/>
            <wp:effectExtent l="4445" t="4445" r="8255" b="13970"/>
            <wp:docPr id="2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rPr>
          <w:rFonts w:cstheme="minorHAnsi"/>
        </w:rPr>
      </w:pPr>
    </w:p>
    <w:p>
      <w:r>
        <w:t>3.</w:t>
      </w:r>
    </w:p>
    <w:p>
      <w:r>
        <w:drawing>
          <wp:inline distT="0" distB="0" distL="0" distR="0">
            <wp:extent cx="3587750" cy="1752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 w:asciiTheme="minorAscii" w:hAnsiTheme="majorEastAsia" w:eastAsiaTheme="majorEastAsia" w:cstheme="majorEastAsia"/>
          <w:sz w:val="24"/>
          <w:szCs w:val="24"/>
        </w:rPr>
      </w:pPr>
      <w:r>
        <w:rPr>
          <w:rFonts w:hint="eastAsia" w:asciiTheme="minorAscii" w:hAnsiTheme="majorEastAsia" w:eastAsiaTheme="majorEastAsia" w:cstheme="majorEastAsia"/>
          <w:i w:val="0"/>
          <w:caps w:val="0"/>
          <w:color w:val="001D35"/>
          <w:spacing w:val="0"/>
          <w:sz w:val="24"/>
          <w:szCs w:val="24"/>
          <w:shd w:val="clear" w:fill="FFFFFF"/>
        </w:rPr>
        <w:t>全距（Range, R） 指的是</w:t>
      </w:r>
      <w:r>
        <w:rPr>
          <w:rFonts w:hint="eastAsia" w:asciiTheme="minorAscii" w:hAnsiTheme="majorEastAsia" w:eastAsiaTheme="majorEastAsia" w:cstheme="majorEastAsia"/>
          <w:sz w:val="24"/>
          <w:szCs w:val="24"/>
        </w:rPr>
        <w:t>一組數值資料中，最大值與最小值之間的差</w:t>
      </w:r>
    </w:p>
    <w:p>
      <w:pPr>
        <w:widowControl w:val="0"/>
        <w:numPr>
          <w:ilvl w:val="0"/>
          <w:numId w:val="0"/>
        </w:numPr>
        <w:rPr>
          <w:rFonts w:hint="eastAsia" w:hAnsi="SimSun" w:eastAsia="SimSun" w:cs="SimSun" w:asciiTheme="minorAscii"/>
          <w:sz w:val="24"/>
          <w:szCs w:val="24"/>
          <w:lang w:val="en-US" w:eastAsia="zh-TW"/>
        </w:rPr>
      </w:pPr>
    </w:p>
    <w:p>
      <w:pPr>
        <w:widowControl w:val="0"/>
        <w:numPr>
          <w:ilvl w:val="0"/>
          <w:numId w:val="0"/>
        </w:numP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  <w:t>最大值: 是71。</w:t>
      </w:r>
    </w:p>
    <w:p>
      <w:pPr>
        <w:widowControl w:val="0"/>
        <w:numPr>
          <w:ilvl w:val="0"/>
          <w:numId w:val="0"/>
        </w:numP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  <w:t>最小值: 是 40。</w:t>
      </w:r>
    </w:p>
    <w:p>
      <w:pPr>
        <w:widowControl w:val="0"/>
        <w:numPr>
          <w:ilvl w:val="0"/>
          <w:numId w:val="0"/>
        </w:numP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  <w:t>全距: 為71 - 40 = 31</w:t>
      </w:r>
    </w:p>
    <w:p>
      <w:pPr>
        <w:widowControl w:val="0"/>
        <w:numPr>
          <w:ilvl w:val="0"/>
          <w:numId w:val="0"/>
        </w:numPr>
        <w:rPr>
          <w:rFonts w:hint="eastAsia" w:hAnsi="SimSun" w:eastAsia="SimSun" w:cs="SimSun" w:asciiTheme="minorAscii"/>
          <w:sz w:val="24"/>
          <w:szCs w:val="24"/>
          <w:lang w:val="en-US" w:eastAsia="zh-TW"/>
        </w:rPr>
      </w:pPr>
    </w:p>
    <w:p>
      <w:pPr>
        <w:widowControl w:val="0"/>
        <w:numPr>
          <w:ilvl w:val="0"/>
          <w:numId w:val="0"/>
        </w:numPr>
        <w:rPr>
          <w:rFonts w:hint="eastAsia" w:hAnsi="SimSun" w:eastAsia="SimSun" w:cs="SimSun" w:asciiTheme="minorAscii"/>
          <w:sz w:val="24"/>
          <w:szCs w:val="24"/>
          <w:lang w:val="en-US" w:eastAsia="zh-TW"/>
        </w:rPr>
      </w:pPr>
      <w:r>
        <w:rPr>
          <w:rFonts w:hint="eastAsia" w:hAnsi="SimSun" w:eastAsia="SimSun" w:cs="SimSun" w:asciiTheme="minorAscii"/>
          <w:sz w:val="24"/>
          <w:szCs w:val="24"/>
          <w:lang w:val="en-US" w:eastAsia="zh-TW"/>
        </w:rPr>
        <w:t xml:space="preserve">b.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  <w:t>樣本平均數</w:t>
      </w:r>
      <w:r>
        <w:rPr>
          <w:rFonts w:hint="eastAsia" w:hAnsi="SimSun" w:eastAsia="SimSun" w:cs="SimSun" w:asciiTheme="minorAscii"/>
          <w:sz w:val="24"/>
          <w:szCs w:val="24"/>
          <w:lang w:val="en-US" w:eastAsia="zh-TW"/>
        </w:rPr>
        <w:t xml:space="preserve">(Sample Mean): x̄ (x-bar) </w:t>
      </w:r>
    </w:p>
    <w:p>
      <w:pPr>
        <w:widowControl w:val="0"/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  <w:t>加總：將樣本中的所有數據值加總。</w:t>
      </w:r>
    </w:p>
    <w:p>
      <w:pPr>
        <w:widowControl w:val="0"/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  <w:t>除以數量：將總和除以樣本的數量（即數據的個數）。</w:t>
      </w:r>
    </w:p>
    <w:p>
      <w:pPr>
        <w:widowControl w:val="0"/>
        <w:numPr>
          <w:ilvl w:val="0"/>
          <w:numId w:val="0"/>
        </w:numP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</w:pPr>
      <w:r>
        <w:rPr>
          <w:rFonts w:hint="eastAsia" w:asciiTheme="minorAscii" w:hAnsiTheme="majorEastAsia" w:eastAsiaTheme="majorEastAsia" w:cstheme="majorEastAsia"/>
          <w:sz w:val="24"/>
          <w:szCs w:val="24"/>
          <w:lang w:val="en-US" w:eastAsia="zh-TW"/>
        </w:rPr>
        <w:t>592/10=59.2</w:t>
      </w:r>
    </w:p>
    <w:p>
      <w:pPr>
        <w:widowControl w:val="0"/>
        <w:numPr>
          <w:ilvl w:val="0"/>
          <w:numId w:val="0"/>
        </w:numPr>
        <w:rPr>
          <w:rFonts w:hint="default" w:hAnsi="Times New Roman" w:eastAsia="SimSun" w:cs="Times New Roman" w:asciiTheme="minorAscii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hAnsi="Times New Roman" w:eastAsia="SimSun" w:cs="Times New Roman" w:asciiTheme="minorAscii"/>
          <w:i w:val="0"/>
          <w:caps w:val="0"/>
          <w:color w:val="000000"/>
          <w:spacing w:val="0"/>
          <w:sz w:val="27"/>
          <w:szCs w:val="27"/>
        </w:rPr>
        <w:t>s =樣本標準差(standard deviation)用於表示資料之離散程度，若由母體中抽取n個</w:t>
      </w:r>
      <w:r>
        <w:rPr>
          <w:rFonts w:hint="default" w:hAnsi="Times New Roman" w:eastAsia="SimSun" w:cs="Times New Roman" w:asciiTheme="minorAscii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hAnsi="Times New Roman" w:eastAsia="SimSun" w:cs="Times New Roman" w:asciiTheme="minorAscii"/>
          <w:i w:val="0"/>
          <w:caps w:val="0"/>
          <w:color w:val="000000"/>
          <w:spacing w:val="0"/>
          <w:sz w:val="27"/>
          <w:szCs w:val="27"/>
        </w:rPr>
        <w:t>樣本，其值分別為n x , x ,..., x 1 2 ，其樣本標準差計算如下：</w:t>
      </w:r>
    </w:p>
    <w:p>
      <w:pPr>
        <w:widowControl w:val="0"/>
        <w:numPr>
          <w:ilvl w:val="0"/>
          <w:numId w:val="0"/>
        </w:numPr>
      </w:pPr>
      <w:r>
        <w:drawing>
          <wp:inline distT="0" distB="0" distL="114300" distR="114300">
            <wp:extent cx="1873250" cy="857250"/>
            <wp:effectExtent l="0" t="0" r="6350" b="635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計算每個數據值與平均值之間的偏差，並將這些偏差平方故平方和: 967.6</w:t>
      </w:r>
    </w:p>
    <w:p>
      <w:pPr>
        <w:widowControl w:val="0"/>
        <w:numPr>
          <w:ilvl w:val="0"/>
          <w:numId w:val="0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變異數: 967.6/(總樣本數-1)=107.511111</w:t>
      </w:r>
    </w:p>
    <w:p>
      <w:pPr>
        <w:widowControl w:val="0"/>
        <w:numPr>
          <w:ilvl w:val="0"/>
          <w:numId w:val="0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平方根結果為標準差10.36875649</w:t>
      </w:r>
    </w:p>
    <w:p>
      <w:pPr>
        <w:widowControl w:val="0"/>
        <w:numPr>
          <w:ilvl w:val="0"/>
          <w:numId w:val="0"/>
        </w:numPr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rPr>
          <w:rFonts w:hint="eastAsia" w:asciiTheme="minorAscii"/>
          <w:lang w:val="en-US" w:eastAsia="zh-TW"/>
        </w:rPr>
      </w:pPr>
      <w:r>
        <w:rPr>
          <w:rFonts w:hint="eastAsia"/>
          <w:lang w:val="en-US" w:eastAsia="zh-TW"/>
        </w:rPr>
        <w:t xml:space="preserve">c. </w:t>
      </w:r>
      <w:r>
        <w:rPr>
          <w:rFonts w:hint="eastAsia" w:asciiTheme="minorAscii"/>
          <w:lang w:val="en-US" w:eastAsia="zh-TW"/>
        </w:rPr>
        <w:t xml:space="preserve">Range 31/ </w:t>
      </w:r>
      <w:r>
        <w:rPr>
          <w:rFonts w:hint="default" w:hAnsi="Times New Roman" w:eastAsia="SimSun" w:cs="Times New Roman" w:asciiTheme="minorAscii"/>
          <w:i w:val="0"/>
          <w:caps w:val="0"/>
          <w:color w:val="000000"/>
          <w:spacing w:val="0"/>
          <w:sz w:val="27"/>
          <w:szCs w:val="27"/>
        </w:rPr>
        <w:t>standard deviation</w:t>
      </w:r>
      <w:r>
        <w:rPr>
          <w:rFonts w:hint="eastAsia" w:hAnsi="Times New Roman" w:eastAsia="新細明體" w:cs="Times New Roman" w:asciiTheme="minorAscii"/>
          <w:i w:val="0"/>
          <w:caps w:val="0"/>
          <w:color w:val="000000"/>
          <w:spacing w:val="0"/>
          <w:sz w:val="27"/>
          <w:szCs w:val="27"/>
          <w:lang w:val="en-US" w:eastAsia="zh-TW"/>
        </w:rPr>
        <w:t xml:space="preserve"> </w:t>
      </w:r>
      <w:r>
        <w:rPr>
          <w:rFonts w:hint="eastAsia" w:asciiTheme="minorAscii"/>
          <w:lang w:val="en-US" w:eastAsia="zh-TW"/>
        </w:rPr>
        <w:t>10.36875649 = 2.989750992</w:t>
      </w:r>
    </w:p>
    <w:p>
      <w:pPr>
        <w:widowControl w:val="0"/>
        <w:numPr>
          <w:ilvl w:val="0"/>
          <w:numId w:val="0"/>
        </w:numPr>
        <w:rPr>
          <w:rFonts w:hint="eastAsia" w:asciiTheme="minorAscii"/>
          <w:lang w:val="en-US" w:eastAsia="zh-TW"/>
        </w:rPr>
      </w:pPr>
    </w:p>
    <w:p>
      <w:pPr>
        <w:widowControl w:val="0"/>
        <w:numPr>
          <w:ilvl w:val="0"/>
          <w:numId w:val="0"/>
        </w:num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4.</w:t>
      </w:r>
    </w:p>
    <w:p>
      <w:pPr>
        <w:widowControl w:val="0"/>
        <w:numPr>
          <w:ilvl w:val="0"/>
          <w:numId w:val="0"/>
        </w:numPr>
      </w:pPr>
      <w:r>
        <w:drawing>
          <wp:inline distT="0" distB="0" distL="114300" distR="114300">
            <wp:extent cx="3543300" cy="2019300"/>
            <wp:effectExtent l="0" t="0" r="0" b="0"/>
            <wp:docPr id="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</w:pPr>
    </w:p>
    <w:tbl>
      <w:tblPr>
        <w:tblStyle w:val="5"/>
        <w:tblW w:w="35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21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mean</w:t>
            </w:r>
          </w:p>
        </w:tc>
        <w:tc>
          <w:tcPr>
            <w:tcW w:w="21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3.509090909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</w:t>
            </w:r>
          </w:p>
        </w:tc>
        <w:tc>
          <w:tcPr>
            <w:tcW w:w="21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4.684909091</w:t>
            </w:r>
          </w:p>
        </w:tc>
      </w:tr>
    </w:tbl>
    <w:p>
      <w:pPr>
        <w:widowControl w:val="0"/>
        <w:numPr>
          <w:ilvl w:val="0"/>
          <w:numId w:val="0"/>
        </w:numPr>
      </w:pPr>
    </w:p>
    <w:tbl>
      <w:tblPr>
        <w:tblStyle w:val="5"/>
        <w:tblW w:w="67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2115"/>
        <w:gridCol w:w="914"/>
        <w:gridCol w:w="23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1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9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z-scores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min</w:t>
            </w:r>
          </w:p>
        </w:tc>
        <w:tc>
          <w:tcPr>
            <w:tcW w:w="21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-0.535568751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max</w:t>
            </w:r>
          </w:p>
        </w:tc>
        <w:tc>
          <w:tcPr>
            <w:tcW w:w="21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7.8</w:t>
            </w:r>
          </w:p>
        </w:tc>
        <w:tc>
          <w:tcPr>
            <w:tcW w:w="9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3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0.915900182</w:t>
            </w:r>
          </w:p>
        </w:tc>
      </w:tr>
    </w:tbl>
    <w:p>
      <w:pPr>
        <w:widowControl w:val="0"/>
        <w:numPr>
          <w:ilvl w:val="0"/>
          <w:numId w:val="0"/>
        </w:numPr>
        <w:rPr>
          <w:rFonts w:hint="eastAsia"/>
          <w:lang w:val="en-US" w:eastAsia="zh-TW"/>
        </w:rPr>
      </w:pPr>
    </w:p>
    <w:tbl>
      <w:tblPr>
        <w:tblStyle w:val="5"/>
        <w:tblW w:w="3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8"/>
        <w:gridCol w:w="11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Position</w:t>
            </w:r>
          </w:p>
        </w:tc>
        <w:tc>
          <w:tcPr>
            <w:tcW w:w="1132" w:type="dxa"/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Value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Q1=0.25(11+1)=3</w:t>
            </w:r>
          </w:p>
        </w:tc>
        <w:tc>
          <w:tcPr>
            <w:tcW w:w="1132" w:type="dxa"/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Q3=0.75(11+1)=9</w:t>
            </w:r>
          </w:p>
        </w:tc>
        <w:tc>
          <w:tcPr>
            <w:tcW w:w="1132" w:type="dxa"/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IQR=Q3-Q1=6</w:t>
            </w:r>
          </w:p>
        </w:tc>
        <w:tc>
          <w:tcPr>
            <w:tcW w:w="1132" w:type="dxa"/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Q3+1.5*7.8=16.1</w:t>
            </w:r>
          </w:p>
        </w:tc>
        <w:tc>
          <w:tcPr>
            <w:tcW w:w="1132" w:type="dxa"/>
            <w:shd w:val="clear" w:color="auto" w:fill="auto"/>
            <w:vAlign w:val="center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2" w:hRule="atLeast"/>
        </w:trPr>
        <w:tc>
          <w:tcPr>
            <w:tcW w:w="21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Q1-1.5*7.8=-9.6</w:t>
            </w:r>
          </w:p>
        </w:tc>
        <w:tc>
          <w:tcPr>
            <w:tcW w:w="1132" w:type="dxa"/>
            <w:shd w:val="clear" w:color="auto" w:fill="auto"/>
            <w:vAlign w:val="center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rPr>
          <w:rFonts w:hint="eastAsia" w:asciiTheme="minorAscii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沒有outliers, 因數據中沒有大於16.1或小於-9.6的數值.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5.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06800" cy="4559300"/>
            <wp:effectExtent l="0" t="0" r="0" b="0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a.</w:t>
      </w:r>
    </w:p>
    <w:tbl>
      <w:tblPr>
        <w:tblStyle w:val="5"/>
        <w:tblpPr w:leftFromText="180" w:rightFromText="180" w:vertAnchor="text" w:horzAnchor="page" w:tblpX="2582" w:tblpY="143"/>
        <w:tblOverlap w:val="never"/>
        <w:tblW w:w="37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19"/>
        <w:gridCol w:w="14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Min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Chars="100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Position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240" w:leftChars="10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Value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Q1=0.25(28+1)=7.25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240" w:leftChars="10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130.5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Q2=0.5(28+1)=14.5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240" w:leftChars="10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246.5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Q3=0.75(28+1)=21.75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240" w:leftChars="100"/>
              <w:jc w:val="center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317.5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Max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Chars="100"/>
              <w:jc w:val="left"/>
              <w:textAlignment w:val="center"/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新細明體" w:hAnsi="新細明體" w:eastAsia="新細明體" w:cs="新細明體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485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b.</w:t>
      </w:r>
    </w:p>
    <w:tbl>
      <w:tblPr>
        <w:tblStyle w:val="5"/>
        <w:tblW w:w="89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13"/>
        <w:gridCol w:w="1461"/>
        <w:gridCol w:w="885"/>
        <w:gridCol w:w="3031"/>
        <w:gridCol w:w="18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3" w:hRule="atLeast"/>
        </w:trPr>
        <w:tc>
          <w:tcPr>
            <w:tcW w:w="3174" w:type="dxa"/>
            <w:gridSpan w:val="2"/>
            <w:tcBorders>
              <w:top w:val="single" w:color="AEAAAA" w:sz="4" w:space="0"/>
              <w:left w:val="single" w:color="AEAAAA" w:sz="4" w:space="0"/>
              <w:bottom w:val="single" w:color="AEAAAA" w:sz="4" w:space="0"/>
            </w:tcBorders>
            <w:shd w:val="clear" w:color="auto" w:fill="FCE4D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rial" w:hAnsi="Arial" w:eastAsia="新細明體" w:cs="Arial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Value</w:t>
            </w:r>
          </w:p>
        </w:tc>
        <w:tc>
          <w:tcPr>
            <w:tcW w:w="885" w:type="dxa"/>
            <w:shd w:val="clear" w:color="auto" w:fill="FFFFFF"/>
            <w:vAlign w:val="center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881" w:type="dxa"/>
            <w:gridSpan w:val="2"/>
            <w:tcBorders>
              <w:top w:val="single" w:color="AEAAAA" w:sz="4" w:space="0"/>
              <w:left w:val="single" w:color="AEAAAA" w:sz="4" w:space="0"/>
              <w:bottom w:val="single" w:color="AEAAAA" w:sz="4" w:space="0"/>
            </w:tcBorders>
            <w:shd w:val="clear" w:color="auto" w:fill="CCEC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Differences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0" w:hRule="atLeast"/>
        </w:trPr>
        <w:tc>
          <w:tcPr>
            <w:tcW w:w="1713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Minimum Value</w:t>
            </w:r>
          </w:p>
        </w:tc>
        <w:tc>
          <w:tcPr>
            <w:tcW w:w="146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1.7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30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Minimum Value</w:t>
            </w:r>
          </w:p>
        </w:tc>
        <w:tc>
          <w:tcPr>
            <w:tcW w:w="1850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3" w:hRule="atLeast"/>
        </w:trPr>
        <w:tc>
          <w:tcPr>
            <w:tcW w:w="1713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 Quartile</w:t>
            </w:r>
          </w:p>
        </w:tc>
        <w:tc>
          <w:tcPr>
            <w:tcW w:w="146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130.5</w:t>
            </w:r>
          </w:p>
        </w:tc>
        <w:tc>
          <w:tcPr>
            <w:tcW w:w="885" w:type="dxa"/>
            <w:shd w:val="clear" w:color="auto" w:fill="FFFFFF"/>
            <w:vAlign w:val="bottom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 Quartile-Minimum</w:t>
            </w:r>
          </w:p>
        </w:tc>
        <w:tc>
          <w:tcPr>
            <w:tcW w:w="1850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3" w:hRule="atLeast"/>
        </w:trPr>
        <w:tc>
          <w:tcPr>
            <w:tcW w:w="1713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Median Value</w:t>
            </w:r>
          </w:p>
        </w:tc>
        <w:tc>
          <w:tcPr>
            <w:tcW w:w="146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246.5</w:t>
            </w:r>
          </w:p>
        </w:tc>
        <w:tc>
          <w:tcPr>
            <w:tcW w:w="885" w:type="dxa"/>
            <w:shd w:val="clear" w:color="auto" w:fill="FFFFFF"/>
            <w:vAlign w:val="bottom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Median-First Quartile</w:t>
            </w:r>
          </w:p>
        </w:tc>
        <w:tc>
          <w:tcPr>
            <w:tcW w:w="1850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3" w:hRule="atLeast"/>
        </w:trPr>
        <w:tc>
          <w:tcPr>
            <w:tcW w:w="1713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Third Quartile</w:t>
            </w:r>
          </w:p>
        </w:tc>
        <w:tc>
          <w:tcPr>
            <w:tcW w:w="146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317.5</w:t>
            </w:r>
          </w:p>
        </w:tc>
        <w:tc>
          <w:tcPr>
            <w:tcW w:w="885" w:type="dxa"/>
            <w:shd w:val="clear" w:color="auto" w:fill="FFFFFF"/>
            <w:vAlign w:val="bottom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Third Quartile-Median</w:t>
            </w:r>
          </w:p>
        </w:tc>
        <w:tc>
          <w:tcPr>
            <w:tcW w:w="1850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2" w:hRule="atLeast"/>
        </w:trPr>
        <w:tc>
          <w:tcPr>
            <w:tcW w:w="1713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Maximum Value</w:t>
            </w:r>
          </w:p>
        </w:tc>
        <w:tc>
          <w:tcPr>
            <w:tcW w:w="146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485</w:t>
            </w:r>
          </w:p>
        </w:tc>
        <w:tc>
          <w:tcPr>
            <w:tcW w:w="885" w:type="dxa"/>
            <w:shd w:val="clear" w:color="auto" w:fill="FFFFFF"/>
            <w:vAlign w:val="bottom"/>
          </w:tcPr>
          <w:p>
            <w:pPr>
              <w:rPr>
                <w:rFonts w:hint="eastAsia" w:ascii="新細明體" w:hAnsi="新細明體" w:eastAsia="新細明體" w:cs="新細明體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Maximum-Third Quartile</w:t>
            </w:r>
          </w:p>
        </w:tc>
        <w:tc>
          <w:tcPr>
            <w:tcW w:w="1850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167.5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081020" cy="1919605"/>
            <wp:effectExtent l="0" t="0" r="5080" b="10795"/>
            <wp:docPr id="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 xml:space="preserve">   </w:t>
      </w:r>
      <w:r>
        <w:drawing>
          <wp:inline distT="0" distB="0" distL="114300" distR="114300">
            <wp:extent cx="1943100" cy="2800350"/>
            <wp:effectExtent l="0" t="0" r="0" b="6350"/>
            <wp:docPr id="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827145" cy="2877820"/>
            <wp:effectExtent l="0" t="0" r="8255" b="508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c.</w:t>
      </w:r>
    </w:p>
    <w:tbl>
      <w:tblPr>
        <w:tblStyle w:val="5"/>
        <w:tblW w:w="328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74"/>
        <w:gridCol w:w="11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21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hAnsi="新細明體" w:eastAsia="新細明體" w:cs="新細明體" w:asciiTheme="minorAsci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lower_fence = Q1-1.5*IQR</w:t>
            </w:r>
          </w:p>
        </w:tc>
        <w:tc>
          <w:tcPr>
            <w:tcW w:w="1108" w:type="dxa"/>
            <w:shd w:val="clear" w:color="auto" w:fill="auto"/>
            <w:vAlign w:val="center"/>
          </w:tcPr>
          <w:p>
            <w:pPr>
              <w:rPr>
                <w:rFonts w:hint="eastAsia"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  <w:lang w:val="en-US" w:eastAsia="zh-TW"/>
              </w:rPr>
            </w:pPr>
            <w:r>
              <w:rPr>
                <w:rFonts w:hint="eastAsia"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  <w:lang w:val="en-US" w:eastAsia="zh-TW"/>
              </w:rPr>
              <w:t>-150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21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hAnsi="新細明體" w:eastAsia="新細明體" w:cs="新細明體" w:asciiTheme="minorAsci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hAnsi="新細明體" w:eastAsia="新細明體" w:cs="新細明體" w:asciiTheme="minorAsci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upper_fence =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hAnsi="新細明體" w:eastAsia="新細明體" w:cs="新細明體" w:asciiTheme="minorAsci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Q3 +1.5*IQR</w:t>
            </w:r>
          </w:p>
        </w:tc>
        <w:tc>
          <w:tcPr>
            <w:tcW w:w="1108" w:type="dxa"/>
            <w:shd w:val="clear" w:color="auto" w:fill="auto"/>
            <w:vAlign w:val="center"/>
          </w:tcPr>
          <w:p>
            <w:pPr>
              <w:rPr>
                <w:rFonts w:hint="eastAsia"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  <w:lang w:val="en-US" w:eastAsia="zh-TW"/>
              </w:rPr>
            </w:pPr>
            <w:r>
              <w:rPr>
                <w:rFonts w:hint="eastAsia" w:hAnsi="新細明體" w:eastAsia="新細明體" w:cs="新細明體" w:asciiTheme="minorAscii"/>
                <w:i w:val="0"/>
                <w:color w:val="000000"/>
                <w:sz w:val="24"/>
                <w:szCs w:val="24"/>
                <w:u w:val="none"/>
                <w:lang w:val="en-US" w:eastAsia="zh-TW"/>
              </w:rPr>
              <w:t>598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沒有outliers, 因數據中沒有大於598或小於-150的數值.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 w:hAnsiTheme="majorEastAsia" w:eastAsiaTheme="majorEastAsia" w:cstheme="majorEastAsia"/>
          <w:sz w:val="24"/>
          <w:szCs w:val="24"/>
        </w:rPr>
      </w:pPr>
      <w:r>
        <w:rPr>
          <w:rFonts w:hint="eastAsia" w:asciiTheme="minorAscii"/>
          <w:lang w:val="en-US" w:eastAsia="zh-TW"/>
        </w:rPr>
        <w:t xml:space="preserve">d. </w:t>
      </w:r>
      <w:r>
        <w:rPr>
          <w:rFonts w:hint="eastAsia" w:asciiTheme="minorAscii" w:hAnsiTheme="majorEastAsia" w:eastAsiaTheme="majorEastAsia" w:cstheme="majorEastAsia"/>
          <w:sz w:val="24"/>
          <w:szCs w:val="24"/>
        </w:rPr>
        <w:t>年齡資訊是否有助於解釋前四筆異常值？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Fonts w:asciiTheme="minorAscii"/>
        </w:rPr>
        <w:t xml:space="preserve">其中 </w:t>
      </w:r>
      <w:r>
        <w:rPr>
          <w:rStyle w:val="4"/>
          <w:rFonts w:asciiTheme="minorAscii"/>
        </w:rPr>
        <w:t>1.70 μg/g</w:t>
      </w:r>
      <w:r>
        <w:rPr>
          <w:rFonts w:asciiTheme="minorAscii"/>
        </w:rPr>
        <w:t xml:space="preserve"> 顯著低於其他值。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Fonts w:asciiTheme="minorAscii"/>
        </w:rPr>
        <w:t>若知道前四隻海豚年齡 &lt; 3 歲，而其他皆 &gt; 8 歲，這可能反映：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Fonts w:asciiTheme="minorAscii"/>
        </w:rPr>
        <w:t>年幼海豚尚未累積汞 → 生理代謝與暴露時間短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Fonts w:asciiTheme="minorAscii"/>
        </w:rPr>
        <w:t>年長海豚因食物鏈累積汞 → 濃度較高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Fonts w:asciiTheme="minorAscii"/>
        </w:rPr>
        <w:t xml:space="preserve">✅ </w:t>
      </w:r>
      <w:r>
        <w:rPr>
          <w:rStyle w:val="4"/>
          <w:rFonts w:asciiTheme="minorAscii"/>
        </w:rPr>
        <w:t>結論</w:t>
      </w:r>
      <w:r>
        <w:rPr>
          <w:rFonts w:asciiTheme="minorAscii"/>
        </w:rPr>
        <w:t>：年齡資訊提供了生物學上的合理解釋，支持這些低值並非測量錯誤，而是年齡差異造成的自然變異。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6.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11550" cy="3149600"/>
            <wp:effectExtent l="0" t="0" r="6350" b="0"/>
            <wp:docPr id="1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eastAsia="新細明體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a.</w:t>
      </w:r>
    </w:p>
    <w:tbl>
      <w:tblPr>
        <w:tblStyle w:val="5"/>
        <w:tblW w:w="506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38"/>
        <w:gridCol w:w="24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5069" w:type="dxa"/>
            <w:gridSpan w:val="2"/>
            <w:tcBorders>
              <w:top w:val="single" w:color="AEAAAA" w:sz="4" w:space="0"/>
              <w:left w:val="single" w:color="AEAAAA" w:sz="4" w:space="0"/>
              <w:bottom w:val="single" w:color="AEAAAA" w:sz="4" w:space="0"/>
            </w:tcBorders>
            <w:shd w:val="clear" w:color="auto" w:fill="FCE4D6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rial" w:hAnsi="Arial" w:eastAsia="新細明體" w:cs="Arial"/>
                <w:b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Value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638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Minimum Value</w:t>
            </w:r>
          </w:p>
        </w:tc>
        <w:tc>
          <w:tcPr>
            <w:tcW w:w="24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233.97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638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 Quartile</w:t>
            </w:r>
          </w:p>
        </w:tc>
        <w:tc>
          <w:tcPr>
            <w:tcW w:w="24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248.615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638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Median Value</w:t>
            </w:r>
          </w:p>
        </w:tc>
        <w:tc>
          <w:tcPr>
            <w:tcW w:w="24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280.075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638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Third Quartile</w:t>
            </w:r>
          </w:p>
        </w:tc>
        <w:tc>
          <w:tcPr>
            <w:tcW w:w="24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402.28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638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eastAsia="新細明體" w:cs="Arial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Maximum Value</w:t>
            </w:r>
          </w:p>
        </w:tc>
        <w:tc>
          <w:tcPr>
            <w:tcW w:w="2431" w:type="dxa"/>
            <w:tcBorders>
              <w:top w:val="single" w:color="AEAAAA" w:sz="4" w:space="0"/>
              <w:left w:val="single" w:color="AEAAAA" w:sz="4" w:space="0"/>
              <w:bottom w:val="single" w:color="AEAAAA" w:sz="4" w:space="0"/>
              <w:right w:val="single" w:color="AEAAAA" w:sz="4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eastAsia="新細明體" w:cs="Arial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新細明體" w:cs="Arial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459.21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37535" cy="2544445"/>
            <wp:effectExtent l="0" t="0" r="0" b="0"/>
            <wp:docPr id="8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TW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Theme="minorAscii" w:hAnsiTheme="majorEastAsia" w:eastAsiaTheme="majorEastAsia" w:cstheme="majorEastAsia"/>
          <w:sz w:val="24"/>
          <w:szCs w:val="24"/>
        </w:rPr>
      </w:pPr>
      <w:r>
        <w:rPr>
          <w:rFonts w:hint="eastAsia" w:asciiTheme="minorAscii"/>
          <w:lang w:val="en-US" w:eastAsia="zh-TW"/>
        </w:rPr>
        <w:t xml:space="preserve">b. </w:t>
      </w:r>
      <w:r>
        <w:rPr>
          <w:rFonts w:hint="eastAsia" w:asciiTheme="minorAscii" w:hAnsiTheme="majorEastAsia" w:eastAsiaTheme="majorEastAsia" w:cstheme="majorEastAsia"/>
          <w:sz w:val="24"/>
          <w:szCs w:val="24"/>
        </w:rPr>
        <w:t>盒鬚圖告訴我們什麼？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Style w:val="4"/>
          <w:rFonts w:asciiTheme="minorAscii"/>
        </w:rPr>
        <w:t>偏態分布</w:t>
      </w:r>
      <w:r>
        <w:rPr>
          <w:rFonts w:asciiTheme="minorAscii"/>
        </w:rPr>
        <w:t>：中位數偏向下半部，表示資料右偏（右尾長），夏季水電費較高。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Style w:val="4"/>
          <w:rFonts w:asciiTheme="minorAscii"/>
        </w:rPr>
        <w:t>變異大</w:t>
      </w:r>
      <w:r>
        <w:rPr>
          <w:rFonts w:asciiTheme="minorAscii"/>
        </w:rPr>
        <w:t>：Q1 到 Q3 的範圍（IQR）約為 $134.31，顯示水電費波動明顯。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Style w:val="4"/>
          <w:rFonts w:asciiTheme="minorAscii"/>
        </w:rPr>
        <w:t>高值集中在夏季</w:t>
      </w:r>
      <w:r>
        <w:rPr>
          <w:rFonts w:asciiTheme="minorAscii"/>
        </w:rPr>
        <w:t>：最大值 $459.21 出現在 7 月，反映冷氣使用量大幅提升。</w:t>
      </w:r>
    </w:p>
    <w:p>
      <w:pPr>
        <w:pStyle w:val="2"/>
        <w:keepNext w:val="0"/>
        <w:keepLines w:val="0"/>
        <w:widowControl/>
        <w:suppressLineNumbers w:val="0"/>
        <w:ind w:left="720"/>
        <w:rPr>
          <w:rFonts w:asciiTheme="minorAscii"/>
        </w:rPr>
      </w:pPr>
      <w:r>
        <w:rPr>
          <w:rStyle w:val="4"/>
          <w:rFonts w:asciiTheme="minorAscii"/>
        </w:rPr>
        <w:t>無明顯離群值</w:t>
      </w:r>
      <w:r>
        <w:rPr>
          <w:rFonts w:asciiTheme="minorAscii"/>
        </w:rPr>
        <w:t>：所有值都在合理範圍內，無極端異常。</w:t>
      </w:r>
    </w:p>
    <w:p>
      <w:pPr>
        <w:pStyle w:val="2"/>
        <w:keepNext w:val="0"/>
        <w:keepLines w:val="0"/>
        <w:widowControl/>
        <w:suppressLineNumbers w:val="0"/>
        <w:rPr>
          <w:rFonts w:asciiTheme="minorAscii"/>
        </w:rPr>
      </w:pPr>
      <w:r>
        <w:rPr>
          <w:rFonts w:asciiTheme="minorAscii"/>
        </w:rPr>
        <w:t>✅ 結論：這個家庭的水電費呈現季節性波動，夏季顯著偏高，整體分布右偏，反映出氣候對能源消耗的影響。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SimSun" w:hAnsi="SimSun" w:eastAsia="SimSun" w:cs="SimSun"/>
          <w:sz w:val="24"/>
          <w:szCs w:val="24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TW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TW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CFD01E"/>
    <w:multiLevelType w:val="singleLevel"/>
    <w:tmpl w:val="68CFD01E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 w:val="0"/>
  <w:bordersDoNotSurroundFooter w:val="0"/>
  <w:documentProtection w:enforcement="0"/>
  <w:defaultTabStop w:val="48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1E2"/>
    <w:rsid w:val="0005236E"/>
    <w:rsid w:val="002D3526"/>
    <w:rsid w:val="004436F9"/>
    <w:rsid w:val="005526A8"/>
    <w:rsid w:val="00670AB8"/>
    <w:rsid w:val="00735500"/>
    <w:rsid w:val="007B31E2"/>
    <w:rsid w:val="007F137E"/>
    <w:rsid w:val="00837907"/>
    <w:rsid w:val="008919E6"/>
    <w:rsid w:val="008A3FBD"/>
    <w:rsid w:val="00902E50"/>
    <w:rsid w:val="009B789C"/>
    <w:rsid w:val="00A6674E"/>
    <w:rsid w:val="00A97AA2"/>
    <w:rsid w:val="00B81AC1"/>
    <w:rsid w:val="00C3004D"/>
    <w:rsid w:val="00C66B8E"/>
    <w:rsid w:val="00CB7F89"/>
    <w:rsid w:val="00FB2522"/>
    <w:rsid w:val="03AC7FBE"/>
    <w:rsid w:val="0C591DFB"/>
    <w:rsid w:val="0F332787"/>
    <w:rsid w:val="10373D4D"/>
    <w:rsid w:val="105346EF"/>
    <w:rsid w:val="158409D3"/>
    <w:rsid w:val="16CB5494"/>
    <w:rsid w:val="19EC2AF9"/>
    <w:rsid w:val="1BA36FB1"/>
    <w:rsid w:val="2451612E"/>
    <w:rsid w:val="25787681"/>
    <w:rsid w:val="3064085F"/>
    <w:rsid w:val="31F87008"/>
    <w:rsid w:val="327B0E9F"/>
    <w:rsid w:val="43E23C91"/>
    <w:rsid w:val="4AC93062"/>
    <w:rsid w:val="4EF72D72"/>
    <w:rsid w:val="5EC73CEF"/>
    <w:rsid w:val="60E00178"/>
    <w:rsid w:val="61991FC5"/>
    <w:rsid w:val="669706EF"/>
    <w:rsid w:val="69C34460"/>
    <w:rsid w:val="6BC66C1F"/>
    <w:rsid w:val="730337B5"/>
    <w:rsid w:val="760B3008"/>
    <w:rsid w:val="7B567E9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新細明體" w:hAnsi="新細明體" w:eastAsia="新細明體" w:cs="新細明體"/>
      <w:kern w:val="0"/>
      <w:szCs w:val="24"/>
    </w:rPr>
  </w:style>
  <w:style w:type="character" w:styleId="4">
    <w:name w:val="Strong"/>
    <w:basedOn w:val="3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chart" Target="charts/chart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chart" Target="charts/chart2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user\Desktop\114-1_&#36913;&#20845;_&#20808;&#20462;_&#32113;&#35336;&#23416;_&#37159;&#24800;&#25991;\Homework\0913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TW"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600"/>
              <a:t>Measures with Count</a:t>
            </a:r>
            <a:endParaRPr lang="en-US" altLang="zh-TW" sz="1600"/>
          </a:p>
        </c:rich>
      </c:tx>
      <c:layout>
        <c:manualLayout>
          <c:xMode val="edge"/>
          <c:yMode val="edge"/>
          <c:x val="0.295625"/>
          <c:y val="0.0528375733855186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615"/>
          <c:y val="0.164187267556333"/>
          <c:w val="0.907944444444444"/>
          <c:h val="0.666965653029972"/>
        </c:manualLayout>
      </c:layout>
      <c:scatterChart>
        <c:scatterStyle val="marker"/>
        <c:varyColors val="0"/>
        <c:ser>
          <c:idx val="0"/>
          <c:order val="0"/>
          <c:tx>
            <c:strRef>
              <c:f>'[0913.xlsx]Q2'!$H$9</c:f>
              <c:strCache>
                <c:ptCount val="1"/>
                <c:pt idx="0">
                  <c:v>Measures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'[0913.xlsx]Q2'!$G$10:$G$14</c:f>
              <c:numCache>
                <c:formatCode>General</c:formatCode>
                <c:ptCount val="5"/>
                <c:pt idx="0" c:formatCode="General">
                  <c:v>2</c:v>
                </c:pt>
                <c:pt idx="1" c:formatCode="General">
                  <c:v>3</c:v>
                </c:pt>
                <c:pt idx="2" c:formatCode="General">
                  <c:v>4</c:v>
                </c:pt>
                <c:pt idx="3" c:formatCode="General">
                  <c:v>5</c:v>
                </c:pt>
                <c:pt idx="4" c:formatCode="General">
                  <c:v>6</c:v>
                </c:pt>
              </c:numCache>
            </c:numRef>
          </c:xVal>
          <c:yVal>
            <c:numRef>
              <c:f>'[0913.xlsx]Q2'!$H$10:$H$14</c:f>
              <c:numCache>
                <c:formatCode>General</c:formatCode>
                <c:ptCount val="5"/>
                <c:pt idx="0" c:formatCode="General">
                  <c:v>1</c:v>
                </c:pt>
                <c:pt idx="1" c:formatCode="General">
                  <c:v>1</c:v>
                </c:pt>
                <c:pt idx="2" c:formatCode="General">
                  <c:v>1</c:v>
                </c:pt>
                <c:pt idx="3" c:formatCode="General">
                  <c:v>1</c:v>
                </c:pt>
                <c:pt idx="4" c:formatCode="General">
                  <c:v>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'[0913.xlsx]Q2'!$I$9</c:f>
              <c:strCache>
                <c:ptCount val="1"/>
                <c:pt idx="0">
                  <c:v>Count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'[0913.xlsx]Q2'!$G$10:$G$14</c:f>
              <c:numCache>
                <c:formatCode>General</c:formatCode>
                <c:ptCount val="5"/>
                <c:pt idx="0" c:formatCode="General">
                  <c:v>2</c:v>
                </c:pt>
                <c:pt idx="1" c:formatCode="General">
                  <c:v>3</c:v>
                </c:pt>
                <c:pt idx="2" c:formatCode="General">
                  <c:v>4</c:v>
                </c:pt>
                <c:pt idx="3" c:formatCode="General">
                  <c:v>5</c:v>
                </c:pt>
                <c:pt idx="4" c:formatCode="General">
                  <c:v>6</c:v>
                </c:pt>
              </c:numCache>
            </c:numRef>
          </c:xVal>
          <c:yVal>
            <c:numRef>
              <c:f>'[0913.xlsx]Q2'!$I$10:$I$14</c:f>
              <c:numCache>
                <c:formatCode>General</c:formatCode>
                <c:ptCount val="5"/>
                <c:pt idx="0" c:formatCode="General">
                  <c:v>1</c:v>
                </c:pt>
                <c:pt idx="1" c:formatCode="General">
                  <c:v>2</c:v>
                </c:pt>
                <c:pt idx="2" c:formatCode="General">
                  <c:v>2</c:v>
                </c:pt>
                <c:pt idx="3" c:formatCode="General">
                  <c:v>2</c:v>
                </c:pt>
                <c:pt idx="4" c:formatCode="General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6740868"/>
        <c:axId val="441290768"/>
      </c:scatterChart>
      <c:valAx>
        <c:axId val="3767408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TW"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41290768"/>
        <c:crosses val="autoZero"/>
        <c:crossBetween val="midCat"/>
      </c:valAx>
      <c:valAx>
        <c:axId val="441290768"/>
        <c:scaling>
          <c:orientation val="minMax"/>
          <c:max val="5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TW"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76740868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TW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TW" sz="19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alibri" panose="020F0502020204030204" pitchFamily="2" charset="0"/>
                <a:ea typeface="Calibri" panose="020F0502020204030204" pitchFamily="2" charset="0"/>
                <a:cs typeface="Calibri" panose="020F0502020204030204" pitchFamily="2" charset="0"/>
                <a:sym typeface="Calibri" panose="020F0502020204030204" pitchFamily="2" charset="0"/>
              </a:defRPr>
            </a:pPr>
            <a:r>
              <a:rPr lang="en-US" altLang="zh-TW" sz="1920">
                <a:latin typeface="Calibri" panose="020F0502020204030204" pitchFamily="2" charset="0"/>
                <a:ea typeface="Calibri" panose="020F0502020204030204" pitchFamily="2" charset="0"/>
                <a:cs typeface="Calibri" panose="020F0502020204030204" pitchFamily="2" charset="0"/>
                <a:sym typeface="Calibri" panose="020F0502020204030204" pitchFamily="2" charset="0"/>
              </a:rPr>
              <a:t>Box Plots</a:t>
            </a:r>
            <a:endParaRPr lang="en-US" altLang="zh-TW" sz="1920"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  <a:sym typeface="Calibri" panose="020F0502020204030204" pitchFamily="2" charset="0"/>
            </a:endParaRPr>
          </a:p>
        </c:rich>
      </c:tx>
      <c:layout>
        <c:manualLayout>
          <c:xMode val="edge"/>
          <c:yMode val="edge"/>
          <c:x val="0.383525602104837"/>
          <c:y val="0.0359371100573996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stockChart>
        <c:ser>
          <c:idx val="0"/>
          <c:order val="0"/>
          <c:tx>
            <c:strRef>
              <c:f>Sheet1!$B$1</c:f>
              <c:strCache>
                <c:ptCount val="1"/>
                <c:pt idx="0">
                  <c:v>First Quartile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</c:f>
              <c:strCache>
                <c:ptCount val="1"/>
                <c:pt idx="0" c:formatCode="yyyy/m/d">
                  <c:v>Monthly Amout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 c:formatCode="General">
                  <c:v>248.615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Maximum Value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</c:f>
              <c:strCache>
                <c:ptCount val="1"/>
                <c:pt idx="0" c:formatCode="yyyy/m/d">
                  <c:v>Monthly Amout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 c:formatCode="General">
                  <c:v>459.21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Sheet1!$E$1</c:f>
              <c:strCache>
                <c:ptCount val="1"/>
                <c:pt idx="0">
                  <c:v>Minimum Value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</c:f>
              <c:strCache>
                <c:ptCount val="1"/>
                <c:pt idx="0" c:formatCode="yyyy/m/d">
                  <c:v>Monthly Amout</c:v>
                </c:pt>
              </c:strCache>
            </c:strRef>
          </c:cat>
          <c:val>
            <c:numRef>
              <c:f>Sheet1!$E$2</c:f>
              <c:numCache>
                <c:formatCode>General</c:formatCode>
                <c:ptCount val="1"/>
                <c:pt idx="0" c:formatCode="General">
                  <c:v>233.97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Sheet1!$F$1</c:f>
              <c:strCache>
                <c:ptCount val="1"/>
                <c:pt idx="0">
                  <c:v>Third Quartile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Sheet1!$A$2</c:f>
              <c:strCache>
                <c:ptCount val="1"/>
                <c:pt idx="0" c:formatCode="yyyy/m/d">
                  <c:v>Monthly Amout</c:v>
                </c:pt>
              </c:strCache>
            </c:strRef>
          </c:cat>
          <c:val>
            <c:numRef>
              <c:f>Sheet1!$F$2</c:f>
              <c:numCache>
                <c:formatCode>General</c:formatCode>
                <c:ptCount val="1"/>
                <c:pt idx="0" c:formatCode="General">
                  <c:v>402.28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</c:hiLowLines>
        <c:upDownBars>
          <c:gapWidth val="150"/>
          <c:upBars>
            <c:spPr>
              <a:solidFill>
                <a:schemeClr val="tx1">
                  <a:lumMod val="40000"/>
                  <a:lumOff val="60000"/>
                </a:schemeClr>
              </a:solidFill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upBars>
          <c:downBars>
            <c:spPr>
              <a:solidFill>
                <a:schemeClr val="dk1">
                  <a:lumMod val="75000"/>
                  <a:lumOff val="25000"/>
                </a:schemeClr>
              </a:solidFill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downBars>
        </c:upDownBars>
        <c:axId val="800603721"/>
        <c:axId val="456915308"/>
      </c:stockChart>
      <c:dateAx>
        <c:axId val="800603721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TW"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libri" panose="020F0502020204030204" pitchFamily="2" charset="0"/>
                <a:ea typeface="Calibri" panose="020F0502020204030204" pitchFamily="2" charset="0"/>
                <a:cs typeface="Calibri" panose="020F0502020204030204" pitchFamily="2" charset="0"/>
                <a:sym typeface="Calibri" panose="020F0502020204030204" pitchFamily="2" charset="0"/>
              </a:defRPr>
            </a:pPr>
          </a:p>
        </c:txPr>
        <c:crossAx val="456915308"/>
        <c:crosses val="autoZero"/>
        <c:auto val="1"/>
        <c:lblAlgn val="ctr"/>
        <c:lblOffset val="100"/>
        <c:baseTimeUnit val="days"/>
      </c:dateAx>
      <c:valAx>
        <c:axId val="456915308"/>
        <c:scaling>
          <c:orientation val="minMax"/>
          <c:max val="500"/>
          <c:min val="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TW"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libri" panose="020F0502020204030204" pitchFamily="2" charset="0"/>
                <a:ea typeface="Calibri" panose="020F0502020204030204" pitchFamily="2" charset="0"/>
                <a:cs typeface="Calibri" panose="020F0502020204030204" pitchFamily="2" charset="0"/>
                <a:sym typeface="Calibri" panose="020F0502020204030204" pitchFamily="2" charset="0"/>
              </a:defRPr>
            </a:pPr>
          </a:p>
        </c:txPr>
        <c:crossAx val="800603721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TW" sz="1600">
          <a:latin typeface="Calibri" panose="020F0502020204030204" pitchFamily="2" charset="0"/>
          <a:ea typeface="Calibri" panose="020F0502020204030204" pitchFamily="2" charset="0"/>
          <a:cs typeface="Calibri" panose="020F0502020204030204" pitchFamily="2" charset="0"/>
          <a:sym typeface="Calibri" panose="020F0502020204030204" pitchFamily="2" charset="0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115</Words>
  <Characters>657</Characters>
  <Lines>5</Lines>
  <Paragraphs>1</Paragraphs>
  <ScaleCrop>false</ScaleCrop>
  <LinksUpToDate>false</LinksUpToDate>
  <CharactersWithSpaces>771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2025-09-20T13:58:00Z</dcterms:created>
  <dc:creator>Microsoft 帳戶</dc:creator>
  <cp:lastModifiedBy>user</cp:lastModifiedBy>
  <dcterms:modified xsi:type="dcterms:W3CDTF">2025-09-21T16:30:12Z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