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Microsoft YaHei" w:hAnsi="Microsoft YaHei" w:eastAsia="Microsoft YaHei"/>
          <w:b/>
          <w:color w:val="2E74B5"/>
          <w:sz w:val="20"/>
        </w:rPr>
        <w:t>TECHNICAL SPECIFICATION</w:t>
      </w:r>
    </w:p>
    <w:p>
      <w:pPr>
        <w:pStyle w:val="Title"/>
      </w:pPr>
      <w:r>
        <w:rPr>
          <w:rFonts w:ascii="Microsoft YaHei" w:hAnsi="Microsoft YaHei" w:eastAsia="Microsoft YaHei"/>
          <w:b/>
          <w:color w:val="17324D"/>
          <w:sz w:val="52"/>
        </w:rPr>
        <w:t>T0 模块设计与集成技术说明书</w:t>
      </w:r>
    </w:p>
    <w:p>
      <w:pPr>
        <w:pStyle w:val="Subtitle"/>
      </w:pPr>
      <w:r>
        <w:rPr>
          <w:rFonts w:ascii="Microsoft YaHei" w:hAnsi="Microsoft YaHei" w:eastAsia="Microsoft YaHei"/>
          <w:color w:val="5F6B76"/>
          <w:sz w:val="26"/>
        </w:rPr>
        <w:t>非遗 AI 多语种智能解说传播项目｜模块 C 第一阶段交付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项目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文档版本</w:t>
            </w:r>
          </w:p>
        </w:tc>
        <w:tc>
          <w:tcPr>
            <w:tcW w:type="dxa" w:w="73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v1.0.0（接口基线）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编制日期</w:t>
            </w:r>
          </w:p>
        </w:tc>
        <w:tc>
          <w:tcPr>
            <w:tcW w:type="dxa" w:w="73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2026 年 7 月 25 日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适用范围</w:t>
            </w:r>
          </w:p>
        </w:tc>
        <w:tc>
          <w:tcPr>
            <w:tcW w:type="dxa" w:w="73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T0 中枢实现；A/B/C 三方开发、联调与验收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代码位置</w:t>
            </w:r>
          </w:p>
        </w:tc>
        <w:tc>
          <w:tcPr>
            <w:tcW w:type="dxa" w:w="73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项目目录 /t0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当前状态</w:t>
            </w:r>
          </w:p>
        </w:tc>
        <w:tc>
          <w:tcPr>
            <w:tcW w:type="dxa" w:w="73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20"/>
              </w:rPr>
              <w:t>Mock 可运行；真实模块按接口契约替换</w:t>
            </w:r>
          </w:p>
        </w:tc>
      </w:tr>
    </w:tbl>
    <w:p>
      <w:pPr>
        <w:spacing w:after="40" w:before="0"/>
      </w:pPr>
    </w:p>
    <w:p>
      <w:pPr>
        <w:pStyle w:val="Callout"/>
        <w:shd w:fill="EEF6F1"/>
        <w:pBdr>
          <w:left w:val="single" w:sz="18" w:space="8" w:color="2E6B4F"/>
        </w:pBdr>
      </w:pPr>
      <w:r>
        <w:rPr>
          <w:rFonts w:ascii="Microsoft YaHei" w:hAnsi="Microsoft YaHei" w:eastAsia="Microsoft YaHei"/>
          <w:b/>
          <w:color w:val="2E6B4F"/>
        </w:rPr>
        <w:t xml:space="preserve">交付结论  </w:t>
      </w:r>
      <w:r>
        <w:rPr>
          <w:rFonts w:ascii="Microsoft YaHei" w:hAnsi="Microsoft YaHei" w:eastAsia="Microsoft YaHei"/>
          <w:color w:val="17324D"/>
        </w:rPr>
        <w:t>T0 采用统一 API 网关与轻量编排器架构。T7 只依赖 T0；T0 通过注册表调用 T1-T9。关键链路强制“先检索、后生成、带引用”，并对 T2、T5、TTS、T9 设置明确降级策略。</w:t>
      </w:r>
    </w:p>
    <w:p>
      <w:pPr/>
      <w:r>
        <w:rPr>
          <w:rFonts w:ascii="Microsoft YaHei" w:hAnsi="Microsoft YaHei" w:eastAsia="Microsoft YaHei"/>
        </w:rPr>
        <w:t>设计依据：①《非遗AI多语种智能解说传播项目方案书》；②《非遗AI多语种智能解说传播项目_技术模块分工与认领表》。</w:t>
      </w:r>
    </w:p>
    <w:p>
      <w:r>
        <w:br w:type="page"/>
      </w:r>
    </w:p>
    <w:p>
      <w:pPr>
        <w:pStyle w:val="Heading1"/>
        <w:keepNext/>
      </w:pPr>
      <w:r>
        <w:t>1. 文档目的与设计边界</w:t>
      </w:r>
    </w:p>
    <w:p>
      <w:pPr/>
      <w:r>
        <w:rPr>
          <w:rFonts w:ascii="Microsoft YaHei" w:hAnsi="Microsoft YaHei" w:eastAsia="Microsoft YaHei"/>
        </w:rPr>
        <w:t>本说明书用于冻结 T0 的职责、公开接口、下游模块契约和联调规则。三位成员可据此独立开发 A、B、C 模块，并在不共享内部代码的前提下完成端到端集成。</w:t>
      </w:r>
    </w:p>
    <w:p>
      <w:pPr>
        <w:pStyle w:val="Heading2"/>
        <w:keepNext/>
      </w:pPr>
      <w:r>
        <w:t>1.1 T0 必须负责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统一入口：向 T7 暴露稳定的 /v1 REST/JSON 接口，并集中处理鉴权、校验和错误映射。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流程编排：组织导览问答、传播内容和知识入库三条链路，记录 trace_id 与模块耗时。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契约治理：维护数据模型、接口版本、语言代码、引用结构、错误码和 Mock 实现。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故障隔离：区分关键依赖与可降级依赖，保证无依据时拒绝生成、非关键能力失败时可安全退化。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集成支撑：提供能力发现、健康检查、环境配置、示例请求、测试和演示入口。</w:t>
      </w:r>
    </w:p>
    <w:p>
      <w:pPr>
        <w:pStyle w:val="Heading2"/>
        <w:keepNext/>
      </w:pPr>
      <w:r>
        <w:t>1.2 T0 明确不负责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不实现 T1 的资料清洗、OCR/ASR 与版权复核；只定义调用契约和入库编排。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不实现 T3 的向量库、混合检索或 Rerank；不在 T0 内复制检索逻辑。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不实现 T4/T5/T6/T8 的模型、提示词或音视频处理；只传入约束并校验输出。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不承载 T7 页面和 T9 看板；T7 是 T0 的调用方，T9 是事件与反馈接收方。</w:t>
      </w:r>
    </w:p>
    <w:p>
      <w:pPr>
        <w:pStyle w:val="Callout"/>
        <w:shd w:fill="FFF8E8"/>
        <w:pBdr>
          <w:left w:val="single" w:sz="18" w:space="8" w:color="7A5A00"/>
        </w:pBdr>
      </w:pPr>
      <w:r>
        <w:rPr>
          <w:rFonts w:ascii="Microsoft YaHei" w:hAnsi="Microsoft YaHei" w:eastAsia="Microsoft YaHei"/>
          <w:b/>
          <w:color w:val="7A5A00"/>
        </w:rPr>
        <w:t xml:space="preserve">边界原则  </w:t>
      </w:r>
      <w:r>
        <w:rPr>
          <w:rFonts w:ascii="Microsoft YaHei" w:hAnsi="Microsoft YaHei" w:eastAsia="Microsoft YaHei"/>
          <w:color w:val="17324D"/>
        </w:rPr>
        <w:t>T0 是控制面与集成面，不是“万能业务模块”。其他模块只需遵守契约，不需要依赖 T0 的内部类或数据库。</w:t>
      </w:r>
    </w:p>
    <w:p>
      <w:pPr>
        <w:pStyle w:val="Heading1"/>
        <w:keepNext/>
      </w:pPr>
      <w:r>
        <w:t>2. 总体架构与责任分组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title="T0 统一入口与模块编排架构" descr="T7 通过 T0 统一入口调用 A 组数据知识服务和 B 组 AI 服务；T0 将事件与反馈发送给 T9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5F6B76"/>
          <w:sz w:val="18"/>
        </w:rPr>
        <w:t>图 1｜T0 统一入口与 A/B/C 模块协作关系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1584"/>
        <w:gridCol w:w="2880"/>
        <w:gridCol w:w="2880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责任组</w:t>
            </w:r>
          </w:p>
        </w:tc>
        <w:tc>
          <w:tcPr>
            <w:tcW w:type="dxa" w:w="158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模块</w:t>
            </w:r>
          </w:p>
        </w:tc>
        <w:tc>
          <w:tcPr>
            <w:tcW w:type="dxa" w:w="28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交付重点</w:t>
            </w:r>
          </w:p>
        </w:tc>
        <w:tc>
          <w:tcPr>
            <w:tcW w:type="dxa" w:w="28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与 T0 的关系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 数据与知识底座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T1 / T2 / T3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资料治理、图谱、RAG 与溯源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实现下游服务；遵守 source_id、chunk_id、citation_id 规则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B AI 解说与传播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T4 / T5 / T6 / T8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多语生成、文化适配、多模态、传播内容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实现下游服务；不得绕开 T3 的有据上下文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 应用、集成与运营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 / T7 / T9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统一入口、终端、反馈评测与运维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T7 只调用 T0；T9 接受异步事件和用户反馈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t>2.1 核心设计决策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1656"/>
        <w:gridCol w:w="6768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编号</w:t>
            </w:r>
          </w:p>
        </w:tc>
        <w:tc>
          <w:tcPr>
            <w:tcW w:type="dxa" w:w="165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决策</w:t>
            </w:r>
          </w:p>
        </w:tc>
        <w:tc>
          <w:tcPr>
            <w:tcW w:type="dxa" w:w="676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D-01</w:t>
            </w:r>
          </w:p>
        </w:tc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统一入口</w:t>
            </w:r>
          </w:p>
        </w:tc>
        <w:tc>
          <w:tcPr>
            <w:tcW w:type="dxa" w:w="67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T7 不直接调用 T3/T4/T6，避免终端绑定多个服务和泄露下游密钥。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D-02</w:t>
            </w:r>
          </w:p>
        </w:tc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契约优先</w:t>
            </w:r>
          </w:p>
        </w:tc>
        <w:tc>
          <w:tcPr>
            <w:tcW w:type="dxa" w:w="67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接口版本为 1.0.0；新增可选字段属于兼容变更，删除/改义必须升主版本。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D-03</w:t>
            </w:r>
          </w:p>
        </w:tc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有据生成</w:t>
            </w:r>
          </w:p>
        </w:tc>
        <w:tc>
          <w:tcPr>
            <w:tcW w:type="dxa" w:w="67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T3 未返回可引用片段时，T0 返回 NO_GROUNDED_CONTEXT，不调用 T4。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D-04</w:t>
            </w:r>
          </w:p>
        </w:tc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安全降级</w:t>
            </w:r>
          </w:p>
        </w:tc>
        <w:tc>
          <w:tcPr>
            <w:tcW w:type="dxa" w:w="67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T2、T5、TTS 可按默认策略降级；T3、T4、T6 输入理解失败则终止主链路。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D-05</w:t>
            </w:r>
          </w:p>
        </w:tc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Mock 先行</w:t>
            </w:r>
          </w:p>
        </w:tc>
        <w:tc>
          <w:tcPr>
            <w:tcW w:type="dxa" w:w="67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默认 Mock 模式可完成演示；切换 T0_MODE=http 后无需修改编排代码。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D-06</w:t>
            </w:r>
          </w:p>
        </w:tc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轻状态</w:t>
            </w:r>
          </w:p>
        </w:tc>
        <w:tc>
          <w:tcPr>
            <w:tcW w:type="dxa" w:w="67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MVP 仅保存短期幂等结果；生产环境再以 Redis/任务队列替换内存实现。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t>3. T0 内部模块设计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656"/>
        <w:gridCol w:w="3960"/>
        <w:gridCol w:w="2304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层</w:t>
            </w:r>
          </w:p>
        </w:tc>
        <w:tc>
          <w:tcPr>
            <w:tcW w:type="dxa" w:w="165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代码位置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职责</w:t>
            </w:r>
          </w:p>
        </w:tc>
        <w:tc>
          <w:tcPr>
            <w:tcW w:type="dxa" w:w="230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API 层</w:t>
            </w:r>
          </w:p>
        </w:tc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api.py</w:t>
            </w:r>
          </w:p>
        </w:tc>
        <w:tc>
          <w:tcPr>
            <w:tcW w:type="dxa" w:w="396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路由、API Key、请求头、响应模型、错误映射</w:t>
            </w:r>
          </w:p>
        </w:tc>
        <w:tc>
          <w:tcPr>
            <w:tcW w:type="dxa" w:w="23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不得编写业务编排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契约层</w:t>
            </w:r>
          </w:p>
        </w:tc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models.py</w:t>
            </w:r>
          </w:p>
        </w:tc>
        <w:tc>
          <w:tcPr>
            <w:tcW w:type="dxa" w:w="396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Pydantic v2 模型、字段校验、OpenAPI Schema</w:t>
            </w:r>
          </w:p>
        </w:tc>
        <w:tc>
          <w:tcPr>
            <w:tcW w:type="dxa" w:w="23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不得引用具体供应商 SDK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编排层</w:t>
            </w:r>
          </w:p>
        </w:tc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orchestrator.py</w:t>
            </w:r>
          </w:p>
        </w:tc>
        <w:tc>
          <w:tcPr>
            <w:tcW w:type="dxa" w:w="396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顺序/并行调用、关键性判断、降级、幂等、事件</w:t>
            </w:r>
          </w:p>
        </w:tc>
        <w:tc>
          <w:tcPr>
            <w:tcW w:type="dxa" w:w="23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不得实现 RAG 或 Prompt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适配层</w:t>
            </w:r>
          </w:p>
        </w:tc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contracts.py</w:t>
            </w:r>
          </w:p>
        </w:tc>
        <w:tc>
          <w:tcPr>
            <w:tcW w:type="dxa" w:w="396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统一 ModuleClient；HTTP 与 Mock 两种实现</w:t>
            </w:r>
          </w:p>
        </w:tc>
        <w:tc>
          <w:tcPr>
            <w:tcW w:type="dxa" w:w="23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不得向上暴露 urllib/HTTP 细节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注册层</w:t>
            </w:r>
          </w:p>
        </w:tc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registry.py</w:t>
            </w:r>
          </w:p>
        </w:tc>
        <w:tc>
          <w:tcPr>
            <w:tcW w:type="dxa" w:w="396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按模块号注册客户端；mock/http 切换</w:t>
            </w:r>
          </w:p>
        </w:tc>
        <w:tc>
          <w:tcPr>
            <w:tcW w:type="dxa" w:w="23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不得硬编码业务路由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配置层</w:t>
            </w:r>
          </w:p>
        </w:tc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config.py</w:t>
            </w:r>
          </w:p>
        </w:tc>
        <w:tc>
          <w:tcPr>
            <w:tcW w:type="dxa" w:w="396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环境变量、模块地址、超时、重试、版本</w:t>
            </w:r>
          </w:p>
        </w:tc>
        <w:tc>
          <w:tcPr>
            <w:tcW w:type="dxa" w:w="23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不得提交密钥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错误层</w:t>
            </w:r>
          </w:p>
        </w:tc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errors.py</w:t>
            </w:r>
          </w:p>
        </w:tc>
        <w:tc>
          <w:tcPr>
            <w:tcW w:type="dxa" w:w="396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统一 T0Error 与 ModuleCallError</w:t>
            </w:r>
          </w:p>
        </w:tc>
        <w:tc>
          <w:tcPr>
            <w:tcW w:type="dxa" w:w="23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不得直接向 T7 返回下游堆栈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3.1 导览问答主链路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/>
        </w:rPr>
        <w:t>T7 调用 POST /v1/guide/query；T0 生成或接受 request_id，并生成本次 trace_id。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/>
        </w:rPr>
        <w:t>T0 调用 T6 /v1/input/normalize，将文字、图片、音频或展品 ID 统一为 query。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/>
        </w:rPr>
        <w:t>T0 并行调用 T3 /v1/retrieve 与可选的 T2 /v1/graph/context。T3 是关键依赖；T2 可降级。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/>
        </w:rPr>
        <w:t>T0 调用 T5 /v1/adapt 生成跨文化表达策略；失败时使用只陈述事实、类比需标注的安全默认策略。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/>
        </w:rPr>
        <w:t>T0 调用 T4 /v1/generate，传入检索片段、图谱约束、受众画像和引用格式要求。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/>
        </w:rPr>
        <w:t>如 return_audio=true，T0 调用 T6 /v1/audio/synthesize；失败只返回文本。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/>
        </w:rPr>
        <w:t>T0 返回答案、来源引用和告警；同时向 T9 发送完成事件，T9 失败不阻断响应。</w:t>
      </w:r>
    </w:p>
    <w:p>
      <w:pPr>
        <w:pStyle w:val="Callout"/>
        <w:shd w:fill="EEF6F1"/>
        <w:pBdr>
          <w:left w:val="single" w:sz="18" w:space="8" w:color="2E6B4F"/>
        </w:pBdr>
      </w:pPr>
      <w:r>
        <w:rPr>
          <w:rFonts w:ascii="Microsoft YaHei" w:hAnsi="Microsoft YaHei" w:eastAsia="Microsoft YaHei"/>
          <w:b/>
          <w:color w:val="2E6B4F"/>
        </w:rPr>
        <w:t xml:space="preserve">关键控制点  </w:t>
      </w:r>
      <w:r>
        <w:rPr>
          <w:rFonts w:ascii="Microsoft YaHei" w:hAnsi="Microsoft YaHei" w:eastAsia="Microsoft YaHei"/>
          <w:color w:val="17324D"/>
        </w:rPr>
        <w:t>T4 只能消费 T0 传入的 context。引用必须使用 citation_id；T0 对外返回完整来源信息，T7 不自行拼装引用。</w:t>
      </w:r>
    </w:p>
    <w:p>
      <w:pPr>
        <w:pStyle w:val="Heading2"/>
        <w:keepNext/>
      </w:pPr>
      <w:r>
        <w:t>3.2 传播内容链路</w:t>
      </w:r>
    </w:p>
    <w:p>
      <w:pPr/>
      <w:r>
        <w:rPr>
          <w:rFonts w:ascii="Microsoft YaHei" w:hAnsi="Microsoft YaHei" w:eastAsia="Microsoft YaHei"/>
        </w:rPr>
        <w:t>POST /v1/content/generate 先调用 T3 获取可引用材料，再调用 T8 按平台、语言、受众和长度生成内容。该链路与导览问答分开，所有结果默认 review_required=true，必须保留人工审核入口。</w:t>
      </w:r>
    </w:p>
    <w:p>
      <w:pPr>
        <w:pStyle w:val="Heading2"/>
        <w:keepNext/>
      </w:pPr>
      <w:r>
        <w:t>3.3 知识入库链路</w:t>
      </w:r>
    </w:p>
    <w:p>
      <w:pPr/>
      <w:r>
        <w:rPr>
          <w:rFonts w:ascii="Microsoft YaHei" w:hAnsi="Microsoft YaHei" w:eastAsia="Microsoft YaHei"/>
        </w:rPr>
        <w:t>POST /v1/knowledge/ingest 先调用 T1 清洗和标准化，再并行写入 T3 索引与 T2 图谱。T3 写入失败视为失败；T2 写入失败返回 partial，并允许后续重放。MVP 单次限制 100 份资料，适合演示与小批量更新；大批量入库应在 P1 引入任务队列。</w:t>
      </w:r>
    </w:p>
    <w:p>
      <w:pPr>
        <w:pStyle w:val="Heading1"/>
        <w:keepNext/>
      </w:pPr>
      <w:r>
        <w:t>4. 对外 API（T7 → T0）</w:t>
      </w:r>
    </w:p>
    <w:p>
      <w:pPr/>
      <w:r>
        <w:rPr>
          <w:rFonts w:ascii="Microsoft YaHei" w:hAnsi="Microsoft YaHei" w:eastAsia="Microsoft YaHei"/>
        </w:rPr>
        <w:t>Base URL 由部署环境决定，例如 http://localhost:8000。所有业务接口使用 UTF-8 JSON；OpenAPI 文档位于 /docs。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2376"/>
        <w:gridCol w:w="1224"/>
        <w:gridCol w:w="3384"/>
        <w:gridCol w:w="1440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方法</w:t>
            </w:r>
          </w:p>
        </w:tc>
        <w:tc>
          <w:tcPr>
            <w:tcW w:type="dxa" w:w="237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路径</w:t>
            </w:r>
          </w:p>
        </w:tc>
        <w:tc>
          <w:tcPr>
            <w:tcW w:type="dxa" w:w="122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调用方</w:t>
            </w:r>
          </w:p>
        </w:tc>
        <w:tc>
          <w:tcPr>
            <w:tcW w:type="dxa" w:w="338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用途</w:t>
            </w:r>
          </w:p>
        </w:tc>
        <w:tc>
          <w:tcPr>
            <w:tcW w:type="dxa" w:w="144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幂等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GET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/healthz</w:t>
            </w:r>
          </w:p>
        </w:tc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探针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 进程存活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/readyz</w:t>
            </w:r>
          </w:p>
        </w:tc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探针/部署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检查 T3、T4、T6 关键依赖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GET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/v1/capabilities</w:t>
            </w:r>
          </w:p>
        </w:tc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T7/联调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发现版本、语种、输入类型与能力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/v1/guide/query</w:t>
            </w:r>
          </w:p>
        </w:tc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T7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导览问答与可选语音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Idempotency-Key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POST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/v1/content/generate</w:t>
            </w:r>
          </w:p>
        </w:tc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T7 后台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传播内容生成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建议 request_id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/v1/knowledge/ingest</w:t>
            </w:r>
          </w:p>
        </w:tc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管理端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小批量资料入库编排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建议 request_id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POST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/v1/feedback</w:t>
            </w:r>
          </w:p>
        </w:tc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T7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点赞、点踩、纠错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request_id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4.1 请求头约定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224"/>
        <w:gridCol w:w="3384"/>
        <w:gridCol w:w="2952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请求头</w:t>
            </w:r>
          </w:p>
        </w:tc>
        <w:tc>
          <w:tcPr>
            <w:tcW w:type="dxa" w:w="122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必填</w:t>
            </w:r>
          </w:p>
        </w:tc>
        <w:tc>
          <w:tcPr>
            <w:tcW w:type="dxa" w:w="338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规则</w:t>
            </w:r>
          </w:p>
        </w:tc>
        <w:tc>
          <w:tcPr>
            <w:tcW w:type="dxa" w:w="295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Content-Type</w:t>
            </w:r>
          </w:p>
        </w:tc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POST 必填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application/json</w:t>
            </w:r>
          </w:p>
        </w:tc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统一编码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X-API-Key</w:t>
            </w:r>
          </w:p>
        </w:tc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部署可选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由 T0_API_KEY 控制</w:t>
            </w:r>
          </w:p>
        </w:tc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T7 → T0 鉴权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Idempotency-Key</w:t>
            </w:r>
          </w:p>
        </w:tc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问答建议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≤128 字符，同一用户操作保持一致</w:t>
            </w:r>
          </w:p>
        </w:tc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防止弱网重试产生重复生成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X-Request-ID</w:t>
            </w:r>
          </w:p>
        </w:tc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可选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调用方请求 ID</w:t>
            </w:r>
          </w:p>
        </w:tc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下游 HTTP 适配时透传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X-Trace-ID</w:t>
            </w:r>
          </w:p>
        </w:tc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内部透传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UUID</w:t>
            </w:r>
          </w:p>
        </w:tc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串联 T0 与 T1-T9 日志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Authorization</w:t>
            </w:r>
          </w:p>
        </w:tc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内部透传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Bearer &lt;token&gt;</w:t>
            </w:r>
          </w:p>
        </w:tc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 → 下游模块鉴权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4.2 导览问答请求示例</w:t>
      </w:r>
    </w:p>
    <w:p>
      <w:pPr>
        <w:pStyle w:val="CodeBlock"/>
      </w:pPr>
      <w:r>
        <w:rPr>
          <w:rFonts w:ascii="Courier New" w:hAnsi="Courier New" w:eastAsia="Microsoft YaHei"/>
          <w:color w:val="24313D"/>
          <w:sz w:val="17"/>
        </w:rPr>
        <w:t>{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"session_id": "museum-demo-001",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"source_language": "auto",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"target_language": "en",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"input": {"type": "text", "text": "这项工艺的文化寓意是什么？"},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"audience": {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  "region": "Southeast Asia", "age_band": "adult",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  "knowledge_level": "beginner", "style": "story"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},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"options": {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  "top_k": 5, "return_audio": true,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  "include_graph_context": true, "debug": false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}</w:t>
      </w:r>
      <w:r>
        <w:br/>
      </w:r>
      <w:r>
        <w:rPr>
          <w:rFonts w:ascii="Courier New" w:hAnsi="Courier New" w:eastAsia="Microsoft YaHei"/>
          <w:color w:val="24313D"/>
          <w:sz w:val="17"/>
        </w:rPr>
        <w:t>}</w:t>
      </w:r>
    </w:p>
    <w:p>
      <w:pPr>
        <w:pStyle w:val="Heading2"/>
        <w:keepNext/>
      </w:pPr>
      <w:r>
        <w:t>4.3 导览问答响应核心字段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440"/>
        <w:gridCol w:w="1008"/>
        <w:gridCol w:w="4680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字段</w:t>
            </w:r>
          </w:p>
        </w:tc>
        <w:tc>
          <w:tcPr>
            <w:tcW w:type="dxa" w:w="144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类型</w:t>
            </w:r>
          </w:p>
        </w:tc>
        <w:tc>
          <w:tcPr>
            <w:tcW w:type="dxa" w:w="100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必有</w:t>
            </w:r>
          </w:p>
        </w:tc>
        <w:tc>
          <w:tcPr>
            <w:tcW w:type="dxa" w:w="46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contract_version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string</w:t>
            </w:r>
          </w:p>
        </w:tc>
        <w:tc>
          <w:tcPr>
            <w:tcW w:type="dxa" w:w="10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  <w:tc>
          <w:tcPr>
            <w:tcW w:type="dxa" w:w="46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当前接口基线 1.0.0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trace_id / request_id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string</w:t>
            </w:r>
          </w:p>
        </w:tc>
        <w:tc>
          <w:tcPr>
            <w:tcW w:type="dxa" w:w="10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  <w:tc>
          <w:tcPr>
            <w:tcW w:type="dxa" w:w="46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问题定位与幂等追踪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answer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string</w:t>
            </w:r>
          </w:p>
        </w:tc>
        <w:tc>
          <w:tcPr>
            <w:tcW w:type="dxa" w:w="10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  <w:tc>
          <w:tcPr>
            <w:tcW w:type="dxa" w:w="46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目标语讲解文本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detected_language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BCP 47</w:t>
            </w:r>
          </w:p>
        </w:tc>
        <w:tc>
          <w:tcPr>
            <w:tcW w:type="dxa" w:w="10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  <w:tc>
          <w:tcPr>
            <w:tcW w:type="dxa" w:w="46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T6 检测的输入语种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citations[]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array</w:t>
            </w:r>
          </w:p>
        </w:tc>
        <w:tc>
          <w:tcPr>
            <w:tcW w:type="dxa" w:w="10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  <w:tc>
          <w:tcPr>
            <w:tcW w:type="dxa" w:w="46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至少包含 citation_id、source_id、title；无引用时不得生成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audio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object/null</w:t>
            </w:r>
          </w:p>
        </w:tc>
        <w:tc>
          <w:tcPr>
            <w:tcW w:type="dxa" w:w="10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  <w:tc>
          <w:tcPr>
            <w:tcW w:type="dxa" w:w="46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TTS 结果；降级时为 null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warnings[]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array</w:t>
            </w:r>
          </w:p>
        </w:tc>
        <w:tc>
          <w:tcPr>
            <w:tcW w:type="dxa" w:w="10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是</w:t>
            </w:r>
          </w:p>
        </w:tc>
        <w:tc>
          <w:tcPr>
            <w:tcW w:type="dxa" w:w="46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可降级模块失败说明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pipeline[]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array</w:t>
            </w:r>
          </w:p>
        </w:tc>
        <w:tc>
          <w:tcPr>
            <w:tcW w:type="dxa" w:w="10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条件</w:t>
            </w:r>
          </w:p>
        </w:tc>
        <w:tc>
          <w:tcPr>
            <w:tcW w:type="dxa" w:w="46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仅 options.debug=true 时返回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/>
      </w:pPr>
      <w:r>
        <w:t>5. 下游接口契约（T0 → A/B/C）</w:t>
      </w:r>
    </w:p>
    <w:p>
      <w:pPr>
        <w:pStyle w:val="Callout"/>
        <w:shd w:fill="F4F7FA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统一要求  </w:t>
      </w:r>
      <w:r>
        <w:rPr>
          <w:rFonts w:ascii="Microsoft YaHei" w:hAnsi="Microsoft YaHei" w:eastAsia="Microsoft YaHei"/>
          <w:color w:val="17324D"/>
        </w:rPr>
        <w:t>每个下游服务必须提供 GET /healthz；业务接口返回 JSON 对象；未知字段应忽略；错误使用 HTTP 状态码与稳定 error.code；不得在响应中返回密钥、堆栈或未经授权的原文。</w:t>
      </w:r>
    </w:p>
    <w:p>
      <w:pPr>
        <w:pStyle w:val="Heading2"/>
        <w:keepNext/>
      </w:pPr>
      <w:r>
        <w:t>5.1 A 组：数据与知识底座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088"/>
        <w:gridCol w:w="2880"/>
        <w:gridCol w:w="1872"/>
      </w:tblGrid>
      <w:tr>
        <w:trPr>
          <w:tblHeader w:val="true"/>
          <w:cantSplit w:val="true"/>
        </w:trPr>
        <w:tc>
          <w:tcPr>
            <w:tcW w:type="dxa" w:w="252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模块 / 路径</w:t>
            </w:r>
          </w:p>
        </w:tc>
        <w:tc>
          <w:tcPr>
            <w:tcW w:type="dxa" w:w="208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最小请求</w:t>
            </w:r>
          </w:p>
        </w:tc>
        <w:tc>
          <w:tcPr>
            <w:tcW w:type="dxa" w:w="28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最小响应</w:t>
            </w:r>
          </w:p>
        </w:tc>
        <w:tc>
          <w:tcPr>
            <w:tcW w:type="dxa" w:w="187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关键性 / 备注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T1 POST /v1/documents/normalize</w:t>
            </w:r>
          </w:p>
        </w:tc>
        <w:tc>
          <w:tcPr>
            <w:tcW w:type="dxa" w:w="208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documents[]；publish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records[]：source_id、title、source_uri、authorization_status、chunks[]</w:t>
            </w:r>
          </w:p>
        </w:tc>
        <w:tc>
          <w:tcPr>
            <w:tcW w:type="dxa" w:w="18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入库关键；每个 chunk 必有稳定 chunk_id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T2 POST /v1/graph/context</w:t>
            </w:r>
          </w:p>
        </w:tc>
        <w:tc>
          <w:tcPr>
            <w:tcW w:type="dxa" w:w="208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query；exhibit_id?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entities[]；relations[]；constraints[]</w:t>
            </w:r>
          </w:p>
        </w:tc>
        <w:tc>
          <w:tcPr>
            <w:tcW w:type="dxa" w:w="187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问答可降级；不得返回与来源冲突的事实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T2 POST /v1/graph/upsert</w:t>
            </w:r>
          </w:p>
        </w:tc>
        <w:tc>
          <w:tcPr>
            <w:tcW w:type="dxa" w:w="208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records[]；publish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accepted_count</w:t>
            </w:r>
          </w:p>
        </w:tc>
        <w:tc>
          <w:tcPr>
            <w:tcW w:type="dxa" w:w="18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入库可部分失败；需支持 request_id 去重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T3 POST /v1/retrieve</w:t>
            </w:r>
          </w:p>
        </w:tc>
        <w:tc>
          <w:tcPr>
            <w:tcW w:type="dxa" w:w="208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query；language；top_k；filters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chunks[]，每项符合 Citation</w:t>
            </w:r>
          </w:p>
        </w:tc>
        <w:tc>
          <w:tcPr>
            <w:tcW w:type="dxa" w:w="187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问答关键；必须过滤 restricted/unknown 授权资料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T3 POST /v1/index/upsert</w:t>
            </w:r>
          </w:p>
        </w:tc>
        <w:tc>
          <w:tcPr>
            <w:tcW w:type="dxa" w:w="208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records[]；publish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accepted_count</w:t>
            </w:r>
          </w:p>
        </w:tc>
        <w:tc>
          <w:tcPr>
            <w:tcW w:type="dxa" w:w="18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入库关键；重复 chunk_id 为更新而非新增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5.2 B 组：AI 解说与传播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664"/>
        <w:gridCol w:w="2376"/>
        <w:gridCol w:w="1800"/>
      </w:tblGrid>
      <w:tr>
        <w:trPr>
          <w:tblHeader w:val="true"/>
          <w:cantSplit w:val="true"/>
        </w:trPr>
        <w:tc>
          <w:tcPr>
            <w:tcW w:type="dxa" w:w="252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模块 / 路径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最小请求</w:t>
            </w:r>
          </w:p>
        </w:tc>
        <w:tc>
          <w:tcPr>
            <w:tcW w:type="dxa" w:w="237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最小响应</w:t>
            </w:r>
          </w:p>
        </w:tc>
        <w:tc>
          <w:tcPr>
            <w:tcW w:type="dxa" w:w="180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关键性 / 备注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T4 POST /v1/generate</w:t>
            </w:r>
          </w:p>
        </w:tc>
        <w:tc>
          <w:tcPr>
            <w:tcW w:type="dxa" w:w="26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query；target_language；context[]；adaptation；requirements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answer；used_citation_ids[]</w:t>
            </w:r>
          </w:p>
        </w:tc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问答关键；不得创造 context 外的事实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T5 POST /v1/adapt</w:t>
            </w:r>
          </w:p>
        </w:tc>
        <w:tc>
          <w:tcPr>
            <w:tcW w:type="dxa" w:w="26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query；target_language；audience；graph_context；retrieval_context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policy_version；instructions[]；blocked_terms[]</w:t>
            </w:r>
          </w:p>
        </w:tc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可降级；输出策略而非最终答案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T6 POST /v1/input/normalize</w:t>
            </w:r>
          </w:p>
        </w:tc>
        <w:tc>
          <w:tcPr>
            <w:tcW w:type="dxa" w:w="26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input；source_language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query；detected_language；confidence</w:t>
            </w:r>
          </w:p>
        </w:tc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问答关键；低置信度应返回可理解错误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T6 POST /v1/audio/synthesize</w:t>
            </w:r>
          </w:p>
        </w:tc>
        <w:tc>
          <w:tcPr>
            <w:tcW w:type="dxa" w:w="26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text；language；voice?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url；mime_type；voice?</w:t>
            </w:r>
          </w:p>
        </w:tc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可降级；URL 必须有可访问期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T8 POST /v1/content/generate</w:t>
            </w:r>
          </w:p>
        </w:tc>
        <w:tc>
          <w:tcPr>
            <w:tcW w:type="dxa" w:w="26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topic；platform；audience；max_length；context[]；requirements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content；used_citation_ids[]；review_required</w:t>
            </w:r>
          </w:p>
        </w:tc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独立链路；review_required 默认 true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5.3 C 组：T9 反馈与事件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3312"/>
        <w:gridCol w:w="1440"/>
        <w:gridCol w:w="2160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模块 / 路径</w:t>
            </w:r>
          </w:p>
        </w:tc>
        <w:tc>
          <w:tcPr>
            <w:tcW w:type="dxa" w:w="33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请求</w:t>
            </w:r>
          </w:p>
        </w:tc>
        <w:tc>
          <w:tcPr>
            <w:tcW w:type="dxa" w:w="144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响应</w:t>
            </w:r>
          </w:p>
        </w:tc>
        <w:tc>
          <w:tcPr>
            <w:tcW w:type="dxa" w:w="216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处理原则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T9 POST /v1/events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event_type；data（含 trace_id、request_id）</w:t>
            </w:r>
          </w:p>
        </w:tc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accepted: boolean</w:t>
            </w:r>
          </w:p>
        </w:tc>
        <w:tc>
          <w:tcPr>
            <w:tcW w:type="dxa" w:w="216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最佳努力；失败写日志但不阻断用户回答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T9 POST /v1/feedback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trace_id；session_id；rating?；correction?；tags[]</w:t>
            </w:r>
          </w:p>
        </w:tc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accepted: boolean</w:t>
            </w:r>
          </w:p>
        </w:tc>
        <w:tc>
          <w:tcPr>
            <w:tcW w:type="dxa" w:w="216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用户显式操作；失败返回 502，允许 T7 重试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5.4 引用对象 Citation</w:t>
      </w:r>
    </w:p>
    <w:p>
      <w:pPr>
        <w:pStyle w:val="CodeBlock"/>
      </w:pPr>
      <w:r>
        <w:rPr>
          <w:rFonts w:ascii="Courier New" w:hAnsi="Courier New" w:eastAsia="Microsoft YaHei"/>
          <w:color w:val="24313D"/>
          <w:sz w:val="17"/>
        </w:rPr>
        <w:t>{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"citation_id": "CIT-001",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"source_id": "SRC-DEMO-001",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"title": "非遗项目示例资料",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"section": "历史与工艺",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"uri": "https://example.org/ich/demo#history",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"excerpt": "经授权、可复核的知识片段",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"score": 0.94</w:t>
      </w:r>
      <w:r>
        <w:br/>
      </w:r>
      <w:r>
        <w:rPr>
          <w:rFonts w:ascii="Courier New" w:hAnsi="Courier New" w:eastAsia="Microsoft YaHei"/>
          <w:color w:val="24313D"/>
          <w:sz w:val="17"/>
        </w:rPr>
        <w:t>}</w:t>
      </w:r>
    </w:p>
    <w:p>
      <w:pPr/>
      <w:r>
        <w:rPr>
          <w:rFonts w:ascii="Microsoft YaHei" w:hAnsi="Microsoft YaHei" w:eastAsia="Microsoft YaHei"/>
        </w:rPr>
        <w:t>ID 规则：source_id 由 T1 创建并跨版本稳定；chunk_id 由 T1/T3 共同维护；citation_id 由 T3 为本次检索结果生成或映射。T4 只在正文中引用 citation_id，T0 再把它解析为完整 Citation。</w:t>
      </w:r>
    </w:p>
    <w:p>
      <w:pPr>
        <w:pStyle w:val="Heading1"/>
        <w:keepNext/>
      </w:pPr>
      <w:r>
        <w:t>6. 通用协议、错误与降级</w:t>
      </w:r>
    </w:p>
    <w:p>
      <w:pPr>
        <w:pStyle w:val="Heading2"/>
        <w:keepNext/>
      </w:pPr>
      <w:r>
        <w:t>6.1 通用字段规则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7704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主题</w:t>
            </w:r>
          </w:p>
        </w:tc>
        <w:tc>
          <w:tcPr>
            <w:tcW w:type="dxa" w:w="770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时间</w:t>
            </w:r>
          </w:p>
        </w:tc>
        <w:tc>
          <w:tcPr>
            <w:tcW w:type="dxa" w:w="77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ISO 8601 UTC，例如 2026-07-25T02:48:11Z；耗时统一毫秒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语言</w:t>
            </w:r>
          </w:p>
        </w:tc>
        <w:tc>
          <w:tcPr>
            <w:tcW w:type="dxa" w:w="77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BCP 47，如 zh-CN、en、th；auto 仅允许出现在输入 source_language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ID</w:t>
            </w:r>
          </w:p>
        </w:tc>
        <w:tc>
          <w:tcPr>
            <w:tcW w:type="dxa" w:w="77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UTF-8 可见字符，≤128；新建请求默认 UUID；禁止复用 trace_id 表示业务对象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空值</w:t>
            </w:r>
          </w:p>
        </w:tc>
        <w:tc>
          <w:tcPr>
            <w:tcW w:type="dxa" w:w="77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可选字段可省略或为 null；数组没有元素时返回 []，不要返回 null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兼容</w:t>
            </w:r>
          </w:p>
        </w:tc>
        <w:tc>
          <w:tcPr>
            <w:tcW w:type="dxa" w:w="77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消费者必须忽略未知字段；生产者不得改变既有字段语义或类型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内容授权</w:t>
            </w:r>
          </w:p>
        </w:tc>
        <w:tc>
          <w:tcPr>
            <w:tcW w:type="dxa" w:w="77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8"/>
              </w:rPr>
              <w:t>T3 在线检索默认仅允许 authorized/public；restricted/unknown 不进入生成上下文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6.2 错误响应</w:t>
      </w:r>
    </w:p>
    <w:p>
      <w:pPr>
        <w:pStyle w:val="CodeBlock"/>
      </w:pPr>
      <w:r>
        <w:rPr>
          <w:rFonts w:ascii="Courier New" w:hAnsi="Courier New" w:eastAsia="Microsoft YaHei"/>
          <w:color w:val="24313D"/>
          <w:sz w:val="17"/>
        </w:rPr>
        <w:t>{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"code": "NO_GROUNDED_CONTEXT",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"message": "未检索到可引用的知识片段，系统拒绝无依据生成",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"trace_id": "...",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"retryable": false,</w:t>
      </w:r>
      <w:r>
        <w:br/>
      </w:r>
      <w:r>
        <w:rPr>
          <w:rFonts w:ascii="Courier New" w:hAnsi="Courier New" w:eastAsia="Microsoft YaHei"/>
          <w:color w:val="24313D"/>
          <w:sz w:val="17"/>
        </w:rPr>
        <w:t xml:space="preserve">  "details": {}</w:t>
      </w:r>
      <w:r>
        <w:br/>
      </w:r>
      <w:r>
        <w:rPr>
          <w:rFonts w:ascii="Courier New" w:hAnsi="Courier New" w:eastAsia="Microsoft YaHei"/>
          <w:color w:val="24313D"/>
          <w:sz w:val="17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2"/>
        <w:gridCol w:w="936"/>
        <w:gridCol w:w="1152"/>
        <w:gridCol w:w="4320"/>
      </w:tblGrid>
      <w:tr>
        <w:trPr>
          <w:tblHeader w:val="true"/>
          <w:cantSplit w:val="true"/>
        </w:trPr>
        <w:tc>
          <w:tcPr>
            <w:tcW w:type="dxa" w:w="295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error.code</w:t>
            </w:r>
          </w:p>
        </w:tc>
        <w:tc>
          <w:tcPr>
            <w:tcW w:type="dxa" w:w="93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HTTP</w:t>
            </w:r>
          </w:p>
        </w:tc>
        <w:tc>
          <w:tcPr>
            <w:tcW w:type="dxa" w:w="115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可重试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含义 / T7 行为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UNAUTHORIZED</w:t>
            </w:r>
          </w:p>
        </w:tc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401</w:t>
            </w:r>
          </w:p>
        </w:tc>
        <w:tc>
          <w:tcPr>
            <w:tcW w:type="dxa" w:w="11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否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提示重新登录或检查环境密钥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VALIDATION_ERROR</w:t>
            </w:r>
          </w:p>
        </w:tc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422</w:t>
            </w:r>
          </w:p>
        </w:tc>
        <w:tc>
          <w:tcPr>
            <w:tcW w:type="dxa" w:w="11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否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高亮错误字段；不要原样展示内部模型信息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NO_GROUNDED_CONTEXT</w:t>
            </w:r>
          </w:p>
        </w:tc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422</w:t>
            </w:r>
          </w:p>
        </w:tc>
        <w:tc>
          <w:tcPr>
            <w:tcW w:type="dxa" w:w="11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否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提示换一种问法或联系工作人员，不展示臆测答案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MODULE_NOT_REGISTERED</w:t>
            </w:r>
          </w:p>
        </w:tc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503</w:t>
            </w:r>
          </w:p>
        </w:tc>
        <w:tc>
          <w:tcPr>
            <w:tcW w:type="dxa" w:w="11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否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环境配置错误，停止演示并通知 T0 负责人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DOWNSTREAM_MODULE_ERROR</w:t>
            </w:r>
          </w:p>
        </w:tc>
        <w:tc>
          <w:tcPr>
            <w:tcW w:type="dxa" w:w="93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502</w:t>
            </w:r>
          </w:p>
        </w:tc>
        <w:tc>
          <w:tcPr>
            <w:tcW w:type="dxa" w:w="11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按字段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短暂错误指数退避；关键模块失败展示友好兜底页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INVALID_MODULE_RESPONSE</w:t>
            </w:r>
          </w:p>
        </w:tc>
        <w:tc>
          <w:tcPr>
            <w:tcW w:type="dxa" w:w="93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502</w:t>
            </w:r>
          </w:p>
        </w:tc>
        <w:tc>
          <w:tcPr>
            <w:tcW w:type="dxa" w:w="11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否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接口契约不匹配，按 trace_id 定位责任模块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6.3 失败策略矩阵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296"/>
        <w:gridCol w:w="3528"/>
        <w:gridCol w:w="2880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失败点</w:t>
            </w:r>
          </w:p>
        </w:tc>
        <w:tc>
          <w:tcPr>
            <w:tcW w:type="dxa" w:w="129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主链路</w:t>
            </w:r>
          </w:p>
        </w:tc>
        <w:tc>
          <w:tcPr>
            <w:tcW w:type="dxa" w:w="352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T0 行为</w:t>
            </w:r>
          </w:p>
        </w:tc>
        <w:tc>
          <w:tcPr>
            <w:tcW w:type="dxa" w:w="28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用户结果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T6 输入理解</w:t>
            </w:r>
          </w:p>
        </w:tc>
        <w:tc>
          <w:tcPr>
            <w:tcW w:type="dxa" w:w="12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</w:t>
            </w:r>
          </w:p>
        </w:tc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终止；记录原始输入类型和 trace_id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提示改用文字或展品 ID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T3 检索</w:t>
            </w:r>
          </w:p>
        </w:tc>
        <w:tc>
          <w:tcPr>
            <w:tcW w:type="dxa" w:w="12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问答/传播</w:t>
            </w:r>
          </w:p>
        </w:tc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终止；绝不调用生成模块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提示资料暂不可查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T2 图谱</w:t>
            </w:r>
          </w:p>
        </w:tc>
        <w:tc>
          <w:tcPr>
            <w:tcW w:type="dxa" w:w="12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</w:t>
            </w:r>
          </w:p>
        </w:tc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继续，仅使用 T3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答案可用，warnings 标记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T5 适配</w:t>
            </w:r>
          </w:p>
        </w:tc>
        <w:tc>
          <w:tcPr>
            <w:tcW w:type="dxa" w:w="12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</w:t>
            </w:r>
          </w:p>
        </w:tc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使用 t0-safe-default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中性、保守表达，warnings 标记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T4 生成</w:t>
            </w:r>
          </w:p>
        </w:tc>
        <w:tc>
          <w:tcPr>
            <w:tcW w:type="dxa" w:w="12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</w:t>
            </w:r>
          </w:p>
        </w:tc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终止，不返回空答案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提示稍后重试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T6 TTS</w:t>
            </w:r>
          </w:p>
        </w:tc>
        <w:tc>
          <w:tcPr>
            <w:tcW w:type="dxa" w:w="12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</w:t>
            </w:r>
          </w:p>
        </w:tc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继续，audio=null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展示文本并允许重新播放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T9 事件</w:t>
            </w:r>
          </w:p>
        </w:tc>
        <w:tc>
          <w:tcPr>
            <w:tcW w:type="dxa" w:w="12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全部</w:t>
            </w:r>
          </w:p>
        </w:tc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静默记录本地告警</w:t>
            </w:r>
          </w:p>
        </w:tc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不受影响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T9 反馈</w:t>
            </w:r>
          </w:p>
        </w:tc>
        <w:tc>
          <w:tcPr>
            <w:tcW w:type="dxa" w:w="12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反馈</w:t>
            </w:r>
          </w:p>
        </w:tc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返回 502，允许重试</w:t>
            </w:r>
          </w:p>
        </w:tc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保留待发送状态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t>7. 配置、部署与安全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12"/>
        <w:gridCol w:w="1584"/>
        <w:gridCol w:w="4464"/>
      </w:tblGrid>
      <w:tr>
        <w:trPr>
          <w:tblHeader w:val="true"/>
          <w:cantSplit w:val="true"/>
        </w:trPr>
        <w:tc>
          <w:tcPr>
            <w:tcW w:type="dxa" w:w="33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环境变量</w:t>
            </w:r>
          </w:p>
        </w:tc>
        <w:tc>
          <w:tcPr>
            <w:tcW w:type="dxa" w:w="158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默认值</w:t>
            </w:r>
          </w:p>
        </w:tc>
        <w:tc>
          <w:tcPr>
            <w:tcW w:type="dxa" w:w="446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T0_MODE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mock</w:t>
            </w:r>
          </w:p>
        </w:tc>
        <w:tc>
          <w:tcPr>
            <w:tcW w:type="dxa" w:w="44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mock 单机联调；http 真实服务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T0_API_KEY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空</w:t>
            </w:r>
          </w:p>
        </w:tc>
        <w:tc>
          <w:tcPr>
            <w:tcW w:type="dxa" w:w="44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非空时要求 T7 发送 X-API-Key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T0_DOWNSTREAM_TOKEN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空</w:t>
            </w:r>
          </w:p>
        </w:tc>
        <w:tc>
          <w:tcPr>
            <w:tcW w:type="dxa" w:w="44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 调用下游的 Bearer token；不得提交代码库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T0_CONTRACT_VERSION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1.0.0</w:t>
            </w:r>
          </w:p>
        </w:tc>
        <w:tc>
          <w:tcPr>
            <w:tcW w:type="dxa" w:w="44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对外契约版本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T0_TIMEOUT_SECONDS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12</w:t>
            </w:r>
          </w:p>
        </w:tc>
        <w:tc>
          <w:tcPr>
            <w:tcW w:type="dxa" w:w="44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单次下游请求超时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T0_RETRY_COUNT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1</w:t>
            </w:r>
          </w:p>
        </w:tc>
        <w:tc>
          <w:tcPr>
            <w:tcW w:type="dxa" w:w="44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仅对网络、5xx、429 重试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T0_IDEMPOTENCY_TTL_SECONDS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600</w:t>
            </w:r>
          </w:p>
        </w:tc>
        <w:tc>
          <w:tcPr>
            <w:tcW w:type="dxa" w:w="44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问答幂等缓存时间；MVP 为内存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Tn_BASE_URL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127.0.0.1:81nn</w:t>
            </w:r>
          </w:p>
        </w:tc>
        <w:tc>
          <w:tcPr>
            <w:tcW w:type="dxa" w:w="44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T1/T2/T3/T4/T5/T6/T8/T9 服务地址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7.1 本地启动</w:t>
      </w:r>
    </w:p>
    <w:p>
      <w:pPr>
        <w:pStyle w:val="CodeBlock"/>
      </w:pPr>
      <w:r>
        <w:rPr>
          <w:rFonts w:ascii="Courier New" w:hAnsi="Courier New" w:eastAsia="Microsoft YaHei"/>
          <w:color w:val="24313D"/>
          <w:sz w:val="17"/>
        </w:rPr>
        <w:t>cd t0</w:t>
      </w:r>
      <w:r>
        <w:br/>
      </w:r>
      <w:r>
        <w:rPr>
          <w:rFonts w:ascii="Courier New" w:hAnsi="Courier New" w:eastAsia="Microsoft YaHei"/>
          <w:color w:val="24313D"/>
          <w:sz w:val="17"/>
        </w:rPr>
        <w:t>python -m venv .venv</w:t>
      </w:r>
      <w:r>
        <w:br/>
      </w:r>
      <w:r>
        <w:rPr>
          <w:rFonts w:ascii="Courier New" w:hAnsi="Courier New" w:eastAsia="Microsoft YaHei"/>
          <w:color w:val="24313D"/>
          <w:sz w:val="17"/>
        </w:rPr>
        <w:t>source .venv/bin/activate</w:t>
      </w:r>
      <w:r>
        <w:br/>
      </w:r>
      <w:r>
        <w:rPr>
          <w:rFonts w:ascii="Courier New" w:hAnsi="Courier New" w:eastAsia="Microsoft YaHei"/>
          <w:color w:val="24313D"/>
          <w:sz w:val="17"/>
        </w:rPr>
        <w:t>pip install -r requirements.txt</w:t>
      </w:r>
      <w:r>
        <w:br/>
      </w:r>
      <w:r>
        <w:rPr>
          <w:rFonts w:ascii="Courier New" w:hAnsi="Courier New" w:eastAsia="Microsoft YaHei"/>
          <w:color w:val="24313D"/>
          <w:sz w:val="17"/>
        </w:rPr>
        <w:t>uvicorn t0_orchestrator.api:create_app --factory --host 0.0.0.0 --port 8000</w:t>
      </w:r>
    </w:p>
    <w:p>
      <w:pPr>
        <w:pStyle w:val="Heading2"/>
        <w:keepNext/>
      </w:pPr>
      <w:r>
        <w:t>7.2 安全基线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密钥只通过环境变量或密钥管理系统注入；日志中不得记录 Authorization、X-API-Key、完整音频或图片 URL 查询参数。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T1 必须保存授权状态；T3 必须在检索阶段执行授权过滤，T0 再传给 T4/T8。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对用户纠错、语音转写和上传媒体设置保留期限；面向公开演示前完成脱敏和删除流程。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生产部署启用 HTTPS、来源域名限制、请求体大小限制、速率限制和结构化审计日志。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Prompt 注入防护由 T4/T5 实现；T0 要求 context 与 user input 分字段传递，不拼接成不可区分的字符串。</w:t>
      </w:r>
    </w:p>
    <w:p>
      <w:pPr>
        <w:pStyle w:val="Heading1"/>
        <w:keepNext/>
      </w:pPr>
      <w:r>
        <w:t>8. 三人协作与联调说明</w:t>
      </w:r>
    </w:p>
    <w:p>
      <w:pPr>
        <w:pStyle w:val="Heading2"/>
        <w:keepNext/>
      </w:pPr>
      <w:r>
        <w:t>8.1 代码与分支约定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主分支保持可演示；每组使用 feature/a-*、feature/b-*、feature/c-* 分支，合并前必须通过本组测试和 T0 Mock 契约测试。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接口变更先提交契约提案：变更原因、请求/响应示例、兼容性、受影响模块和回滚方案；未经三方确认不得修改已冻结必填字段。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每次联调使用同一 contract_version，并在问题记录中附 trace_id、request_id、请求时间、环境和模块日志。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</w:rPr>
        <w:t>T0 负责人维护 .env.example、接口清单、Mock 和演示脚本；A/B 负责人维护本组 /healthz 和接口样例。</w:t>
      </w:r>
    </w:p>
    <w:p>
      <w:pPr>
        <w:pStyle w:val="Heading2"/>
        <w:keepNext/>
      </w:pPr>
      <w:r>
        <w:t>8.2 推荐联调顺序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C 组先启动 T0 Mock，T7 通过 /v1/guide/query 完成页面字段对接。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A 组用真实 T3 替换 Mock，验证 citations、授权过滤与 NO_GROUNDED_CONTEXT；再接 T1 入库，最后接可选 T2。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B 组依次替换 T6 输入理解、T5 适配、T4 生成与 T6 TTS；保证 T4 使用 citation_id。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接入 T8 传播内容，并由 T7 后台提供人工审核；接入 T9 反馈与事件。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全体运行中英文样例，注入 T2/T5/TTS/T9 故障，确认降级结果符合矩阵。</w:t>
      </w:r>
    </w:p>
    <w:p>
      <w:pPr>
        <w:numPr>
          <w:ilvl w:val="0"/>
          <w:numId w:val="12"/>
        </w:numPr>
      </w:pPr>
      <w:r>
        <w:rPr>
          <w:rFonts w:ascii="Microsoft YaHei" w:hAnsi="Microsoft YaHei" w:eastAsia="Microsoft YaHei"/>
        </w:rPr>
        <w:t>冻结演示镜像、配置和样例数据，执行一次端到端验收并记录 trace_id。</w:t>
      </w:r>
    </w:p>
    <w:p>
      <w:pPr>
        <w:pStyle w:val="Heading2"/>
        <w:keepNext/>
      </w:pPr>
      <w:r>
        <w:t>8.3 各组交付清单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8"/>
        <w:gridCol w:w="4680"/>
        <w:gridCol w:w="3672"/>
      </w:tblGrid>
      <w:tr>
        <w:trPr>
          <w:tblHeader w:val="true"/>
          <w:cantSplit w:val="true"/>
        </w:trPr>
        <w:tc>
          <w:tcPr>
            <w:tcW w:type="dxa" w:w="100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组</w:t>
            </w:r>
          </w:p>
        </w:tc>
        <w:tc>
          <w:tcPr>
            <w:tcW w:type="dxa" w:w="46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必须交付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T0 验收方式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A</w:t>
            </w:r>
          </w:p>
        </w:tc>
        <w:tc>
          <w:tcPr>
            <w:tcW w:type="dxa" w:w="46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T1/T2/T3 服务、OpenAPI、示例数据、引用回链、授权过滤说明</w:t>
            </w:r>
          </w:p>
        </w:tc>
        <w:tc>
          <w:tcPr>
            <w:tcW w:type="dxa" w:w="36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替换 BASE_URL；运行入库与检索样例；检查 citations 可回溯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B</w:t>
            </w:r>
          </w:p>
        </w:tc>
        <w:tc>
          <w:tcPr>
            <w:tcW w:type="dxa" w:w="46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T4/T5/T6/T8 服务、Prompt 版本、术语样例、音频样例、人工审核标记</w:t>
            </w:r>
          </w:p>
        </w:tc>
        <w:tc>
          <w:tcPr>
            <w:tcW w:type="dxa" w:w="367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替换 BASE_URL；运行中英问答和传播内容；检查引用与降级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</w:t>
            </w:r>
          </w:p>
        </w:tc>
        <w:tc>
          <w:tcPr>
            <w:tcW w:type="dxa" w:w="46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 代码/文档/Mock；T7 页面；T9 反馈接收、日志与部署说明</w:t>
            </w:r>
          </w:p>
        </w:tc>
        <w:tc>
          <w:tcPr>
            <w:tcW w:type="dxa" w:w="36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从扫码进入到提问、播放、引用、反馈完成一次演示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t>9. 测试与验收</w:t>
      </w:r>
    </w:p>
    <w:p>
      <w:pPr>
        <w:pStyle w:val="Heading2"/>
        <w:keepNext/>
      </w:pPr>
      <w:r>
        <w:t>9.1 当前自动化验证</w:t>
      </w:r>
    </w:p>
    <w:p>
      <w:pPr/>
      <w:r>
        <w:rPr>
          <w:rFonts w:ascii="Microsoft YaHei" w:hAnsi="Microsoft YaHei" w:eastAsia="Microsoft YaHei"/>
        </w:rPr>
        <w:t>T0 测试位于 t0/tests/test_orchestrator.py 与 t0/tests/test_api.py，使用 Python unittest，不调用真实模型或外部服务。当前 12 项覆盖：问答成功、按会话隔离幂等键、T2/T5 降级、T3 关键失败、T8/T9 畸形响应、传播内容、知识入库，以及 healthz、X-Request-ID 和统一 422 错误的 ASGI 冒烟验证。</w:t>
      </w:r>
    </w:p>
    <w:p>
      <w:pPr>
        <w:pStyle w:val="CodeBlock"/>
      </w:pPr>
      <w:r>
        <w:rPr>
          <w:rFonts w:ascii="Courier New" w:hAnsi="Courier New" w:eastAsia="Microsoft YaHei"/>
          <w:color w:val="24313D"/>
          <w:sz w:val="17"/>
        </w:rPr>
        <w:t>cd t0</w:t>
      </w:r>
      <w:r>
        <w:br/>
      </w:r>
      <w:r>
        <w:rPr>
          <w:rFonts w:ascii="Courier New" w:hAnsi="Courier New" w:eastAsia="Microsoft YaHei"/>
          <w:color w:val="24313D"/>
          <w:sz w:val="17"/>
        </w:rPr>
        <w:t>python -m unittest discover -s tests -v</w:t>
      </w:r>
    </w:p>
    <w:p>
      <w:pPr>
        <w:pStyle w:val="Heading2"/>
        <w:keepNext/>
      </w:pPr>
      <w:r>
        <w:t>9.2 T0 完成定义（Definition of Done）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Mock 模式可启动，/healthz、/readyz、/docs 可访问。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导览问答返回 answer、citations、trace_id；无检索结果时不调用 T4。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T2、T5、TTS、T9 故障按策略降级，T3/T4/T6 关键故障返回统一错误。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真实模块只需修改环境变量即可替换 Mock，不改 T0 编排代码。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接口请求和响应能通过 Pydantic/OpenAPI 校验，未知字段策略明确。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T7 能展示引用、错误、音频与反馈状态；三方用 trace_id 定位一次完整链路。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密钥未进入版本库；受限资料不能进入 T4/T8 上下文。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/>
          <w:b/>
        </w:rPr>
        <w:t>验收：</w:t>
      </w:r>
      <w:r>
        <w:rPr>
          <w:rFonts w:ascii="Microsoft YaHei" w:hAnsi="Microsoft YaHei" w:eastAsia="Microsoft YaHei"/>
        </w:rPr>
        <w:t>一次中文输入→英文回答→音频→反馈的端到端演示通过。</w:t>
      </w:r>
    </w:p>
    <w:p>
      <w:r>
        <w:br w:type="page"/>
      </w:r>
    </w:p>
    <w:p>
      <w:pPr>
        <w:pStyle w:val="Heading2"/>
        <w:keepNext/>
      </w:pPr>
      <w:r>
        <w:t>9.3 建议验收样例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80"/>
        <w:gridCol w:w="1584"/>
        <w:gridCol w:w="2520"/>
        <w:gridCol w:w="4176"/>
      </w:tblGrid>
      <w:tr>
        <w:trPr>
          <w:tblHeader w:val="true"/>
          <w:cantSplit w:val="true"/>
        </w:trPr>
        <w:tc>
          <w:tcPr>
            <w:tcW w:type="dxa" w:w="10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编号</w:t>
            </w:r>
          </w:p>
        </w:tc>
        <w:tc>
          <w:tcPr>
            <w:tcW w:type="dxa" w:w="158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场景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输入</w:t>
            </w:r>
          </w:p>
        </w:tc>
        <w:tc>
          <w:tcPr>
            <w:tcW w:type="dxa" w:w="417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期望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E2E-01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文本问答</w:t>
            </w:r>
          </w:p>
        </w:tc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中文问题，目标 en</w:t>
            </w:r>
          </w:p>
        </w:tc>
        <w:tc>
          <w:tcPr>
            <w:tcW w:type="dxa" w:w="41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英文讲解、≥1 引用、术语一致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E2E-02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图片问答</w:t>
            </w:r>
          </w:p>
        </w:tc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可识别展品图</w:t>
            </w:r>
          </w:p>
        </w:tc>
        <w:tc>
          <w:tcPr>
            <w:tcW w:type="dxa" w:w="41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T6 返回 query；答案带来源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E2E-03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无知识</w:t>
            </w:r>
          </w:p>
        </w:tc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库中不存在的问题</w:t>
            </w:r>
          </w:p>
        </w:tc>
        <w:tc>
          <w:tcPr>
            <w:tcW w:type="dxa" w:w="41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422 NO_GROUNDED_CONTEXT，无生成内容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E2E-04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T5 故障</w:t>
            </w:r>
          </w:p>
        </w:tc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正常问题</w:t>
            </w:r>
          </w:p>
        </w:tc>
        <w:tc>
          <w:tcPr>
            <w:tcW w:type="dxa" w:w="41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回答继续，warnings 提示安全默认策略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E2E-05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TTS 故障</w:t>
            </w:r>
          </w:p>
        </w:tc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return_audio=true</w:t>
            </w:r>
          </w:p>
        </w:tc>
        <w:tc>
          <w:tcPr>
            <w:tcW w:type="dxa" w:w="41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文本可用，audio=null，warnings 提示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E2E-06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幂等重试</w:t>
            </w:r>
          </w:p>
        </w:tc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相同 Idempotency-Key</w:t>
            </w:r>
          </w:p>
        </w:tc>
        <w:tc>
          <w:tcPr>
            <w:tcW w:type="dxa" w:w="41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返回相同 trace_id 与结果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E2E-07</w:t>
            </w:r>
          </w:p>
        </w:tc>
        <w:tc>
          <w:tcPr>
            <w:tcW w:type="dxa" w:w="15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受限资料</w:t>
            </w:r>
          </w:p>
        </w:tc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命中 restricted 内容</w:t>
            </w:r>
          </w:p>
        </w:tc>
        <w:tc>
          <w:tcPr>
            <w:tcW w:type="dxa" w:w="41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T3 不返回该片段，T4 不可见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E2E-08</w:t>
            </w:r>
          </w:p>
        </w:tc>
        <w:tc>
          <w:tcPr>
            <w:tcW w:type="dxa" w:w="15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反馈</w:t>
            </w:r>
          </w:p>
        </w:tc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down + correction</w:t>
            </w:r>
          </w:p>
        </w:tc>
        <w:tc>
          <w:tcPr>
            <w:tcW w:type="dxa" w:w="41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T9 accepted=true，可按 trace_id 回查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t>10. 风险、限制与后续迭代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944"/>
        <w:gridCol w:w="2232"/>
        <w:gridCol w:w="2304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风险 / 当前限制</w:t>
            </w:r>
          </w:p>
        </w:tc>
        <w:tc>
          <w:tcPr>
            <w:tcW w:type="dxa" w:w="19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影响</w:t>
            </w:r>
          </w:p>
        </w:tc>
        <w:tc>
          <w:tcPr>
            <w:tcW w:type="dxa" w:w="223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当前控制</w:t>
            </w:r>
          </w:p>
        </w:tc>
        <w:tc>
          <w:tcPr>
            <w:tcW w:type="dxa" w:w="230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6"/>
              </w:rPr>
              <w:t>P1/P2 演进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幂等缓存仅在内存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多实例不共享；重启丢失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MVP 单实例；TTL 600 秒</w:t>
            </w:r>
          </w:p>
        </w:tc>
        <w:tc>
          <w:tcPr>
            <w:tcW w:type="dxa" w:w="23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改用 Redis，并绑定请求摘要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入库为同步小批量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大文件可能超时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限制 ≤100 份；演示数据优先</w:t>
            </w:r>
          </w:p>
        </w:tc>
        <w:tc>
          <w:tcPr>
            <w:tcW w:type="dxa" w:w="23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任务队列、对象存储、状态查询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HTTP 适配器为简单重试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高并发吞吐受限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超时 12 秒；仅重试 5xx/429/网络</w:t>
            </w:r>
          </w:p>
        </w:tc>
        <w:tc>
          <w:tcPr>
            <w:tcW w:type="dxa" w:w="23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连接池、断路器、并发限流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Mock 内容不代表真实准确性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不能作为学术或展陈内容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明显标注 Mock；真实演示替换 T3/T4</w:t>
            </w:r>
          </w:p>
        </w:tc>
        <w:tc>
          <w:tcPr>
            <w:tcW w:type="dxa" w:w="23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专家审核集与自动评测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首期语种为中英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其他语种术语风险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capabilities 明示支持范围</w:t>
            </w:r>
          </w:p>
        </w:tc>
        <w:tc>
          <w:tcPr>
            <w:tcW w:type="dxa" w:w="23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术语库、回译抽检、分语种准入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事件发送为进程内异步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进程退出时可能丢事件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主链路优先；本地告警</w:t>
            </w:r>
          </w:p>
        </w:tc>
        <w:tc>
          <w:tcPr>
            <w:tcW w:type="dxa" w:w="23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6"/>
              </w:rPr>
              <w:t>消息队列与死信重放</w:t>
            </w:r>
          </w:p>
        </w:tc>
      </w:tr>
    </w:tbl>
    <w:p>
      <w:pPr>
        <w:spacing w:after="40" w:before="0"/>
      </w:pPr>
    </w:p>
    <w:p>
      <w:pPr>
        <w:pStyle w:val="Callout"/>
        <w:shd w:fill="EEF6F1"/>
        <w:pBdr>
          <w:left w:val="single" w:sz="18" w:space="8" w:color="2E6B4F"/>
        </w:pBdr>
      </w:pPr>
      <w:r>
        <w:rPr>
          <w:rFonts w:ascii="Microsoft YaHei" w:hAnsi="Microsoft YaHei" w:eastAsia="Microsoft YaHei"/>
          <w:b/>
          <w:color w:val="2E6B4F"/>
        </w:rPr>
        <w:t xml:space="preserve">下一阶段建议  </w:t>
      </w:r>
      <w:r>
        <w:rPr>
          <w:rFonts w:ascii="Microsoft YaHei" w:hAnsi="Microsoft YaHei" w:eastAsia="Microsoft YaHei"/>
          <w:color w:val="17324D"/>
        </w:rPr>
        <w:t>先由 A/B 两组按第 5 章实现最小端点，再逐个替换 Mock；在 T0 契约稳定前，不宜提前增加模型供应商耦合、复杂微服务基础设施或全量语种。</w:t>
      </w:r>
    </w:p>
    <w:p>
      <w:r>
        <w:br w:type="page"/>
      </w:r>
    </w:p>
    <w:p>
      <w:pPr>
        <w:pStyle w:val="Heading1"/>
        <w:keepNext/>
      </w:pPr>
      <w:r>
        <w:t>附录 A｜代码交付映射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4032"/>
        <w:gridCol w:w="3312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交付物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路径</w:t>
            </w:r>
          </w:p>
        </w:tc>
        <w:tc>
          <w:tcPr>
            <w:tcW w:type="dxa" w:w="33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 核心代码</w:t>
            </w:r>
          </w:p>
        </w:tc>
        <w:tc>
          <w:tcPr>
            <w:tcW w:type="dxa" w:w="40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t0/t0_orchestrator/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数据契约、编排、注册表、HTTP/Mock、API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环境模板</w:t>
            </w:r>
          </w:p>
        </w:tc>
        <w:tc>
          <w:tcPr>
            <w:tcW w:type="dxa" w:w="40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t0/.env.example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切换 Mock/HTTP、地址、超时、密钥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依赖清单</w:t>
            </w:r>
          </w:p>
        </w:tc>
        <w:tc>
          <w:tcPr>
            <w:tcW w:type="dxa" w:w="40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t0/requirements.txt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FastAPI、Pydantic、Uvicorn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问答样例</w:t>
            </w:r>
          </w:p>
        </w:tc>
        <w:tc>
          <w:tcPr>
            <w:tcW w:type="dxa" w:w="40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t0/examples/requests/guide-query.json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curl / Postman / 联调输入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演示脚本</w:t>
            </w:r>
          </w:p>
        </w:tc>
        <w:tc>
          <w:tcPr>
            <w:tcW w:type="dxa" w:w="40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t0/examples/run_demo.py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不启动 HTTP 服务也可运行核心链路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自动化测试</w:t>
            </w:r>
          </w:p>
        </w:tc>
        <w:tc>
          <w:tcPr>
            <w:tcW w:type="dxa" w:w="40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t0/tests/test_*.py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编排、降级、幂等、入库与 ASGI API 测试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使用说明</w:t>
            </w:r>
          </w:p>
        </w:tc>
        <w:tc>
          <w:tcPr>
            <w:tcW w:type="dxa" w:w="40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t0/README.md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63746"/>
                <w:sz w:val="17"/>
              </w:rPr>
              <w:t>安装、启动、接口与目录说明</w:t>
            </w:r>
          </w:p>
        </w:tc>
      </w:tr>
    </w:tbl>
    <w:p>
      <w:pPr>
        <w:spacing w:after="40" w:before="0"/>
      </w:pPr>
    </w:p>
    <w:p>
      <w:pPr/>
      <w:r>
        <w:rPr>
          <w:rFonts w:ascii="Microsoft YaHei" w:hAnsi="Microsoft YaHei" w:eastAsia="Microsoft YaHei"/>
          <w:b/>
          <w:color w:val="17324D"/>
        </w:rPr>
        <w:t>版本冻结：</w:t>
      </w:r>
      <w:r>
        <w:rPr>
          <w:rFonts w:ascii="Microsoft YaHei" w:hAnsi="Microsoft YaHei" w:eastAsia="Microsoft YaHei"/>
        </w:rPr>
        <w:t>v1.0.0（2026-07-25）冻结 T0 三条流程、公开 API、T1-T9 下游契约、错误与降级、Mock 与测试。任何破坏兼容性的字段删除、类型变化、语义变化或路径变化，必须提升主版本并提供迁移窗口。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88" w:val="right"/>
      </w:tabs>
    </w:pPr>
    <w:r>
      <w:rPr>
        <w:rFonts w:ascii="Microsoft YaHei" w:hAnsi="Microsoft YaHei" w:eastAsia="Microsoft YaHei"/>
        <w:color w:val="5F6B76"/>
        <w:sz w:val="18"/>
      </w:rPr>
      <w:t>内部集成基线 v1.0</w:t>
    </w:r>
    <w:r>
      <w:tab/>
    </w:r>
    <w:r>
      <w:rPr>
        <w:rFonts w:ascii="Microsoft YaHei" w:hAnsi="Microsoft YaHei" w:eastAsia="Microsoft YaHei"/>
        <w:color w:val="5F6B76"/>
        <w:sz w:val="18"/>
      </w:rPr>
      <w:t xml:space="preserve">第 </w:t>
    </w:r>
    <w:r>
      <w:rPr>
        <w:rFonts w:ascii="Microsoft YaHei" w:hAnsi="Microsoft YaHe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5F6B76"/>
        <w:sz w:val="17"/>
      </w:rPr>
      <w:t>非遗 AI 多语种智能解说传播项目  |  T0 技术说明书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60" w:line="283" w:lineRule="auto"/>
      <w:ind w:left="173" w:right="115"/>
    </w:pPr>
  </w:style>
  <w:style w:type="paragraph" w:customStyle="1" w:styleId="CodeBlock">
    <w:name w:val="Code Block"/>
    <w:basedOn w:val="Normal"/>
    <w:pPr>
      <w:keepLines/>
      <w:spacing w:before="80" w:after="160" w:line="252" w:lineRule="auto"/>
      <w:ind w:left="216" w:right="144"/>
      <w:shd w:fill="F2F4F7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 模块设计与集成技术说明书</dc:title>
  <dc:subject>非遗 AI 多语种智能解说传播项目模块 C / T0</dc:subject>
  <dc:creator>项目技术组</dc:creator>
  <cp:keywords>T0, API, RAG, 多语种, 非遗, 集成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