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170" w:line="360" w:lineRule="auto"/>
      </w:pPr>
      <w:r>
        <w:rPr>
          <w:rFonts w:ascii="宋体" w:hAnsi="宋体" w:eastAsia="宋体"/>
          <w:sz w:val="24"/>
          <w:szCs w:val="24"/>
          <w:b/>
          <w:color w:val="5B9BD5"/>
        </w:rPr>
        <w:t xml:space="preserve">TECHNICAL SPECIFICATION</w:t>
      </w:r>
    </w:p>
    <w:p>
      <w:pPr>
        <w:jc w:val="center"/>
        <w:spacing w:after="100" w:line="360" w:lineRule="auto"/>
      </w:pPr>
      <w:r>
        <w:rPr>
          <w:rFonts w:ascii="宋体" w:hAnsi="宋体" w:eastAsia="宋体"/>
          <w:sz w:val="40"/>
          <w:szCs w:val="40"/>
          <w:b/>
          <w:color w:val="1F4E79"/>
        </w:rPr>
        <w:t xml:space="preserve">T1 模块说明书</w:t>
      </w:r>
    </w:p>
    <w:p>
      <w:pPr>
        <w:jc w:val="center"/>
        <w:spacing w:after="350" w:line="360" w:lineRule="auto"/>
      </w:pPr>
      <w:r>
        <w:rPr>
          <w:rFonts w:ascii="宋体" w:hAnsi="宋体" w:eastAsia="宋体"/>
          <w:sz w:val="23"/>
          <w:szCs w:val="23"/>
          <w:color w:val="5B5B5B"/>
        </w:rPr>
        <w:t xml:space="preserve">资料采集、清洗与元数据服务｜最小版本（MVP）</w:t>
      </w:r>
    </w:p>
    <w:tbl>
      <w:tblPr>
        <w:tblW w:w="9000" w:type="dxa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4" w:color="D9E2F3"/>
          <w:insideV w:val="single" w:sz="4" w:color="D9E2F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100"/>
      </w:tblGrid>
      <w:tr>
        <w:tc>
          <w:tcPr>
            <w:tcW w:w="19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  <w:b/>
              </w:rPr>
              <w:t xml:space="preserve">项目</w:t>
            </w:r>
          </w:p>
        </w:tc>
        <w:tc>
          <w:tcPr>
            <w:tcW w:w="71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  <w:b/>
              </w:rPr>
              <w:t xml:space="preserve">内容</w:t>
            </w:r>
          </w:p>
        </w:tc>
      </w:tr>
      <w:tr>
        <w:tc>
          <w:tcPr>
            <w:tcW w:w="1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项目名称</w:t>
            </w:r>
          </w:p>
        </w:tc>
        <w:tc>
          <w:tcPr>
            <w:tcW w:w="7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非遗 AI 多语种智能解说传播项目</w:t>
            </w:r>
          </w:p>
        </w:tc>
      </w:tr>
      <w:tr>
        <w:tc>
          <w:tcPr>
            <w:tcW w:w="19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模块编号</w:t>
            </w:r>
          </w:p>
        </w:tc>
        <w:tc>
          <w:tcPr>
            <w:tcW w:w="71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w="1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模块名称</w:t>
            </w:r>
          </w:p>
        </w:tc>
        <w:tc>
          <w:tcPr>
            <w:tcW w:w="7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资料采集、清洗与元数据</w:t>
            </w:r>
          </w:p>
        </w:tc>
      </w:tr>
      <w:tr>
        <w:tc>
          <w:tcPr>
            <w:tcW w:w="19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文档版本</w:t>
            </w:r>
          </w:p>
        </w:tc>
        <w:tc>
          <w:tcPr>
            <w:tcW w:w="71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v0.1.0（T1 MVP 交付说明）</w:t>
            </w:r>
          </w:p>
        </w:tc>
      </w:tr>
      <w:tr>
        <w:tc>
          <w:tcPr>
            <w:tcW w:w="1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编制日期</w:t>
            </w:r>
          </w:p>
        </w:tc>
        <w:tc>
          <w:tcPr>
            <w:tcW w:w="7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2026 年 7 月 26 日</w:t>
            </w:r>
          </w:p>
        </w:tc>
      </w:tr>
      <w:tr>
        <w:tc>
          <w:tcPr>
            <w:tcW w:w="19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适用范围</w:t>
            </w:r>
          </w:p>
        </w:tc>
        <w:tc>
          <w:tcPr>
            <w:tcW w:w="71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A 组数据与知识底座；T0—T1—T2/T3 联调</w:t>
            </w:r>
          </w:p>
        </w:tc>
      </w:tr>
      <w:tr>
        <w:tc>
          <w:tcPr>
            <w:tcW w:w="1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代码位置</w:t>
            </w:r>
          </w:p>
        </w:tc>
        <w:tc>
          <w:tcPr>
            <w:tcW w:w="7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项目目录 /t1</w:t>
            </w:r>
          </w:p>
        </w:tc>
      </w:tr>
      <w:tr>
        <w:tc>
          <w:tcPr>
            <w:tcW w:w="19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当前状态</w:t>
            </w:r>
          </w:p>
        </w:tc>
        <w:tc>
          <w:tcPr>
            <w:tcW w:w="71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文字资料接收、清洗、分块、台账和最小接口可运行；多媒体采集能力后续迭代</w:t>
            </w:r>
          </w:p>
        </w:tc>
      </w:tr>
    </w:tbl>
    <w:tbl>
      <w:tblPr>
        <w:tblW w:w="9000" w:type="dxa"/>
        <w:tblBorders>
          <w:top w:val="single" w:sz="12" w:color="2F75B5"/>
          <w:left w:val="single" w:sz="12" w:color="2F75B5"/>
          <w:bottom w:val="single" w:sz="12" w:color="2F75B5"/>
          <w:right w:val="single" w:sz="12" w:color="2F75B5"/>
        </w:tblBorders>
        <w:tblCellMar>
          <w:top w:w="130" w:type="dxa"/>
          <w:left w:w="170" w:type="dxa"/>
          <w:bottom w:w="130" w:type="dxa"/>
          <w:right w:w="170" w:type="dxa"/>
        </w:tblCellMar>
      </w:tblPr>
      <w:tblGrid>
        <w:gridCol w:w="9000"/>
      </w:tblGrid>
      <w:tr>
        <w:tc>
          <w:tcPr>
            <w:shd w:fill="EAF3F8"/>
          </w:tcPr>
          <w:p>
            <w:pPr>
              <w:spacing w:after="40" w:line="360" w:lineRule="auto"/>
            </w:pPr>
            <w:r>
              <w:rPr>
                <w:rFonts w:ascii="宋体" w:hAnsi="宋体" w:eastAsia="宋体"/>
                <w:sz w:val="22"/>
                <w:szCs w:val="22"/>
                <w:b/>
                <w:color w:val="1F4E79"/>
              </w:rPr>
              <w:t xml:space="preserve">模块交付结论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T1 MVP 将调用方提交的结构化文字资料治理为 T2/T3 可消费的 records[]：保留来源、授权、版本和复核元数据，执行确定性清洗与分块，生成稳定 chunk_id，并写入 SQLite 资料台账。当前版本不自动抓取 source_uri，也不实现 OCR、ASR、视频解析或专家审核后台。</w:t>
            </w:r>
          </w:p>
        </w:tc>
      </w:tr>
    </w:tbl>
    <w:p>
      <w:r>
        <w:br w:type="page"/>
      </w:r>
    </w:p>
    <w:p>
      <w:pPr>
        <w:pStyle w:val="Heading1"/>
        <w:spacing w:after="140" w:line="360" w:lineRule="auto"/>
      </w:pPr>
      <w:r>
        <w:rPr>
          <w:rFonts w:ascii="宋体" w:hAnsi="宋体" w:eastAsia="宋体"/>
          <w:sz w:val="28"/>
          <w:szCs w:val="28"/>
          <w:b/>
          <w:color w:val="1F4E79"/>
        </w:rPr>
        <w:t xml:space="preserve">1. 文档目的与设计边界</w:t>
      </w:r>
    </w:p>
    <w:p>
      <w:pPr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本文档用于说明 T1 在非遗 AI 多语种智能解说传播项目中的职责、边界、数据流程、接口约定、当前 MVP 实现状态和验收方式。文档参考《技术模块分工与认领表》以及 T0 v1.0.0 接口基线，作为 A 组开发、T0 联调和阶段验收的模块说明。</w:t>
      </w:r>
    </w:p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1.1 T1 模块定位</w:t>
      </w:r>
    </w:p>
    <w:p>
      <w:pPr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T1 位于知识库入口，是资料进入 T2 本体/知识图谱和 T3 向量知识库以前的内容治理层。T1 的核心目标不是生成讲解，而是让资料来源清楚、授权状态可见、文本格式统一、片段可追溯、接口可联调。</w:t>
      </w:r>
    </w:p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1.2 T1 应负责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接收资料及其来源元数据。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对已获得的文本执行基础清洗、规范化和确定性分块。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保存来源、授权状态、复核人、版本、语种、受众、场景和难度等元数据。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维护稳定的 source_id 与 chunk_id 追踪关系。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输出 T2/T3 可消费的结构化 records[]。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通过 source_id、版本和内容哈希支持资料回溯。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提供资料台账、示例数据、接口说明和可复现验收样例。</w:t>
      </w:r>
    </w:p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1.3 T1 明确不负责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不实现 T3 的 Embedding、向量库、混合检索和 Rerank。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不实现 T2 的知识图谱实体关系抽取、查询和存储。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不生成讲解答案、翻译或跨文化适配策略。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不实现 T6/T7 的多模态问答、前端、音频播放和反馈界面。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不修改 T0 的冻结接口字段或编排逻辑。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MVP 不要求真实 OCR、ASR、爬虫、视频解析和专家审核后台。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不调用外部大模型，不依赖模型密钥。</w:t>
      </w:r>
    </w:p>
    <w:tbl>
      <w:tblPr>
        <w:tblW w:w="9000" w:type="dxa"/>
        <w:tblBorders>
          <w:top w:val="single" w:sz="12" w:color="2F75B5"/>
          <w:left w:val="single" w:sz="12" w:color="2F75B5"/>
          <w:bottom w:val="single" w:sz="12" w:color="2F75B5"/>
          <w:right w:val="single" w:sz="12" w:color="2F75B5"/>
        </w:tblBorders>
        <w:tblCellMar>
          <w:top w:w="130" w:type="dxa"/>
          <w:left w:w="170" w:type="dxa"/>
          <w:bottom w:w="130" w:type="dxa"/>
          <w:right w:w="170" w:type="dxa"/>
        </w:tblCellMar>
      </w:tblPr>
      <w:tblGrid>
        <w:gridCol w:w="9000"/>
      </w:tblGrid>
      <w:tr>
        <w:tc>
          <w:tcPr>
            <w:shd w:fill="EAF3F8"/>
          </w:tcPr>
          <w:p>
            <w:pPr>
              <w:spacing w:after="40" w:line="360" w:lineRule="auto"/>
            </w:pPr>
            <w:r>
              <w:rPr>
                <w:rFonts w:ascii="宋体" w:hAnsi="宋体" w:eastAsia="宋体"/>
                <w:sz w:val="22"/>
                <w:szCs w:val="22"/>
                <w:b/>
                <w:color w:val="1F4E79"/>
              </w:rPr>
              <w:t xml:space="preserve">边界原则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本次交付是“结构化文字资料接收 + 清洗 + 分块 + 元数据台账”的最小闭环，不应被描述为已经完成完整的网页、文件、图像、音频和视频自动采集平台。</w:t>
            </w:r>
          </w:p>
        </w:tc>
      </w:tr>
    </w:tbl>
    <w:p>
      <w:pPr>
        <w:pStyle w:val="Heading1"/>
        <w:spacing w:after="140" w:line="360" w:lineRule="auto"/>
      </w:pPr>
      <w:r>
        <w:rPr>
          <w:rFonts w:ascii="宋体" w:hAnsi="宋体" w:eastAsia="宋体"/>
          <w:sz w:val="28"/>
          <w:szCs w:val="28"/>
          <w:b/>
          <w:color w:val="1F4E79"/>
        </w:rPr>
        <w:t xml:space="preserve">2. 总体架构与协作关系</w:t>
      </w:r>
    </w:p>
    <w:p>
      <w:pPr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T1 采用轻量 HTTP 服务形态，由 T0 统一编排调用。T1 不主动调用 T2/T3，而是将标准化结果返回给 T0；T0 再把 records[] 发送给 T2/T3 的入库接口。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shd w:fill="F2F2F2"/>
          </w:tcPr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资料提供方 / T0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    │  POST /v1/documents/normalize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    ▼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 API：请求校验、鉴权、trace/request ID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    ▼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文本清洗 → 确定性分块 → 元数据整理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    ├──► SQLite 资料台账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    └──► records[] 返回 T0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             ├──► T2 /v1/graph/upsert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             └──► T3 /v1/index/upsert</w:t>
            </w:r>
          </w:p>
        </w:tc>
      </w:tr>
    </w:tbl>
    <w:tbl>
      <w:tblPr>
        <w:tblW w:w="9000" w:type="dxa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4" w:color="D9E2F3"/>
          <w:insideV w:val="single" w:sz="4" w:color="D9E2F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00"/>
        <w:gridCol w:w="6900"/>
      </w:tblGrid>
      <w:tr>
        <w:tc>
          <w:tcPr>
            <w:tcW w:w="21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9"/>
                <w:szCs w:val="19"/>
                <w:b/>
              </w:rPr>
              <w:t xml:space="preserve">协作对象</w:t>
            </w:r>
          </w:p>
        </w:tc>
        <w:tc>
          <w:tcPr>
            <w:tcW w:w="69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9"/>
                <w:szCs w:val="19"/>
                <w:b/>
              </w:rPr>
              <w:t xml:space="preserve">T1 交付/依赖关系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T0</w:t>
            </w:r>
          </w:p>
        </w:tc>
        <w:tc>
          <w:tcPr>
            <w:tcW w:w="6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调用 T1 normalize；T1 遵守 v1.0.0 请求/响应最小字段和错误约定。</w:t>
            </w:r>
          </w:p>
        </w:tc>
      </w:tr>
      <w:tr>
        <w:tc>
          <w:tcPr>
            <w:tcW w:w="21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T2</w:t>
            </w:r>
          </w:p>
        </w:tc>
        <w:tc>
          <w:tcPr>
            <w:tcW w:w="69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接收 T1 输出的 records[]，建立实体、关系和知识语义约束。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T3</w:t>
            </w:r>
          </w:p>
        </w:tc>
        <w:tc>
          <w:tcPr>
            <w:tcW w:w="6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接收 T1 输出的 records[]，建立向量索引；检索时过滤 restricted/unknown。</w:t>
            </w:r>
          </w:p>
        </w:tc>
      </w:tr>
      <w:tr>
        <w:tc>
          <w:tcPr>
            <w:tcW w:w="21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T4/T5/T6/T8</w:t>
            </w:r>
          </w:p>
        </w:tc>
        <w:tc>
          <w:tcPr>
            <w:tcW w:w="69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不直接调用 T1；通过 T0/T3 获取有据上下文。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T9</w:t>
            </w:r>
          </w:p>
        </w:tc>
        <w:tc>
          <w:tcPr>
            <w:tcW w:w="6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后续可接收 T1 处理日志、复核状态和质量问题回流。</w:t>
            </w:r>
          </w:p>
        </w:tc>
      </w:tr>
    </w:tbl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2.1 关键设计决策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契约优先：以 T0 v1.0.0 实际模型为准，不擅自新增顶层 content/text 字段。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正文传递约定：MVP 从 documents[].metadata.text 读取待清洗正文。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确定性处理：相同 source_id、正文和分块配置必须生成相同清洗结果和 chunk_id。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保守授权：restricted、unknown 原样保留，publish=true 不等于获得公开授权。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失败可见：缺少正文或暂不支持的多媒体资料进入 rejected[]，不生成虚假内容。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安全边界：T1 不自动访问 source_uri，避免 SSRF、版权和网络不稳定风险。</w:t>
      </w:r>
    </w:p>
    <w:p>
      <w:pPr>
        <w:pStyle w:val="Heading1"/>
        <w:spacing w:after="140" w:line="360" w:lineRule="auto"/>
      </w:pPr>
      <w:r>
        <w:rPr>
          <w:rFonts w:ascii="宋体" w:hAnsi="宋体" w:eastAsia="宋体"/>
          <w:sz w:val="28"/>
          <w:szCs w:val="28"/>
          <w:b/>
          <w:color w:val="1F4E79"/>
        </w:rPr>
        <w:t xml:space="preserve">3. T1 内部模块设计</w:t>
      </w:r>
    </w:p>
    <w:tbl>
      <w:tblPr>
        <w:tblW w:w="9000" w:type="dxa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4" w:color="D9E2F3"/>
          <w:insideV w:val="single" w:sz="4" w:color="D9E2F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50"/>
        <w:gridCol w:w="3900"/>
        <w:gridCol w:w="2750"/>
      </w:tblGrid>
      <w:tr>
        <w:tc>
          <w:tcPr>
            <w:tcW w:w="235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  <w:b/>
              </w:rPr>
              <w:t xml:space="preserve">层/文件</w:t>
            </w:r>
          </w:p>
        </w:tc>
        <w:tc>
          <w:tcPr>
            <w:tcW w:w="39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  <w:b/>
              </w:rPr>
              <w:t xml:space="preserve">职责</w:t>
            </w:r>
          </w:p>
        </w:tc>
        <w:tc>
          <w:tcPr>
            <w:tcW w:w="275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  <w:b/>
              </w:rPr>
              <w:t xml:space="preserve">当前实现</w:t>
            </w:r>
          </w:p>
        </w:tc>
      </w:tr>
      <w:tr>
        <w:tc>
          <w:tcPr>
            <w:tcW w:w="235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API 层 / t1_service/api.py</w:t>
            </w:r>
          </w:p>
        </w:tc>
        <w:tc>
          <w:tcPr>
            <w:tcW w:w="3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路由、请求校验、响应、鉴权、请求头和统一错误结构。</w:t>
            </w:r>
          </w:p>
        </w:tc>
        <w:tc>
          <w:tcPr>
            <w:tcW w:w="275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已实现 healthz、readyz、capabilities、sources、normalize。</w:t>
            </w:r>
          </w:p>
        </w:tc>
      </w:tr>
      <w:tr>
        <w:tc>
          <w:tcPr>
            <w:tcW w:w="235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契约层 / models.py</w:t>
            </w:r>
          </w:p>
        </w:tc>
        <w:tc>
          <w:tcPr>
            <w:tcW w:w="39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Pydantic 请求/响应模型、字段限制和未知字段兼容策略。</w:t>
            </w:r>
          </w:p>
        </w:tc>
        <w:tc>
          <w:tcPr>
            <w:tcW w:w="275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已实现请求/响应模型。</w:t>
            </w:r>
          </w:p>
        </w:tc>
      </w:tr>
      <w:tr>
        <w:tc>
          <w:tcPr>
            <w:tcW w:w="235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清洗层 / normalizer.py</w:t>
            </w:r>
          </w:p>
        </w:tc>
        <w:tc>
          <w:tcPr>
            <w:tcW w:w="3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Unicode NFKC、换行和空白归一化。</w:t>
            </w:r>
          </w:p>
        </w:tc>
        <w:tc>
          <w:tcPr>
            <w:tcW w:w="275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已实现确定性文本清洗。</w:t>
            </w:r>
          </w:p>
        </w:tc>
      </w:tr>
      <w:tr>
        <w:tc>
          <w:tcPr>
            <w:tcW w:w="235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分块层 / chunker.py</w:t>
            </w:r>
          </w:p>
        </w:tc>
        <w:tc>
          <w:tcPr>
            <w:tcW w:w="39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按段落/句子边界切分，支持最大长度和重叠配置。</w:t>
            </w:r>
          </w:p>
        </w:tc>
        <w:tc>
          <w:tcPr>
            <w:tcW w:w="275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已实现稳定顺序和 chunk_id。</w:t>
            </w:r>
          </w:p>
        </w:tc>
      </w:tr>
      <w:tr>
        <w:tc>
          <w:tcPr>
            <w:tcW w:w="235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处理层 / processor.py</w:t>
            </w:r>
          </w:p>
        </w:tc>
        <w:tc>
          <w:tcPr>
            <w:tcW w:w="3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逐资料处理，输出成功记录、拒绝项和 warning。</w:t>
            </w:r>
          </w:p>
        </w:tc>
        <w:tc>
          <w:tcPr>
            <w:tcW w:w="275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已实现多资料部分成功。</w:t>
            </w:r>
          </w:p>
        </w:tc>
      </w:tr>
      <w:tr>
        <w:tc>
          <w:tcPr>
            <w:tcW w:w="235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台账层 / ledger.py</w:t>
            </w:r>
          </w:p>
        </w:tc>
        <w:tc>
          <w:tcPr>
            <w:tcW w:w="39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SQLite 写入、内容哈希、来源/授权/版本/复核信息。</w:t>
            </w:r>
          </w:p>
        </w:tc>
        <w:tc>
          <w:tcPr>
            <w:tcW w:w="275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已实现 source_ledger 和 GET /v1/sources。</w:t>
            </w:r>
          </w:p>
        </w:tc>
      </w:tr>
      <w:tr>
        <w:tc>
          <w:tcPr>
            <w:tcW w:w="235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配置层 / config.py</w:t>
            </w:r>
          </w:p>
        </w:tc>
        <w:tc>
          <w:tcPr>
            <w:tcW w:w="3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数据库路径、分块参数和可选 Bearer Token。</w:t>
            </w:r>
          </w:p>
        </w:tc>
        <w:tc>
          <w:tcPr>
            <w:tcW w:w="275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已实现环境变量配置。</w:t>
            </w:r>
          </w:p>
        </w:tc>
      </w:tr>
    </w:tbl>
    <w:p>
      <w:pPr>
        <w:pStyle w:val="Heading1"/>
        <w:spacing w:after="140" w:line="360" w:lineRule="auto"/>
      </w:pPr>
      <w:r>
        <w:rPr>
          <w:rFonts w:ascii="宋体" w:hAnsi="宋体" w:eastAsia="宋体"/>
          <w:sz w:val="28"/>
          <w:szCs w:val="28"/>
          <w:b/>
          <w:color w:val="1F4E79"/>
        </w:rPr>
        <w:t xml:space="preserve">4. 资料处理流程与治理规则</w:t>
      </w:r>
    </w:p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4.1 MVP 处理流程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1. 调用方准备资料正文和来源元数据。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2. 提交 POST /v1/documents/normalize。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3. T1 校验必要字段。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4. 从 metadata.text 读取正文；缺少正文时拒绝。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5. 执行 NFKC、换行、空白和多空行归一化。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6. 按段落和句子边界进行确定性分块。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7. 生成 source_id-0001 格式的 chunk_id。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8. 写入台账并返回 records[]、rejected[]、warnings[]。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9. T0 将 records[] 转发给 T2/T3。</w:t>
      </w:r>
    </w:p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4.2 清洗与分块规则</w:t>
      </w:r>
    </w:p>
    <w:tbl>
      <w:tblPr>
        <w:tblW w:w="9000" w:type="dxa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4" w:color="D9E2F3"/>
          <w:insideV w:val="single" w:sz="4" w:color="D9E2F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00"/>
        <w:gridCol w:w="6900"/>
      </w:tblGrid>
      <w:tr>
        <w:tc>
          <w:tcPr>
            <w:tcW w:w="21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  <w:b/>
              </w:rPr>
              <w:t xml:space="preserve">规则类别</w:t>
            </w:r>
          </w:p>
        </w:tc>
        <w:tc>
          <w:tcPr>
            <w:tcW w:w="69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  <w:b/>
              </w:rPr>
              <w:t xml:space="preserve">规则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文本规范化</w:t>
            </w:r>
          </w:p>
        </w:tc>
        <w:tc>
          <w:tcPr>
            <w:tcW w:w="6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Unicode NFKC；统一换行；去除首尾空白；压缩行内连续空格和制表符。</w:t>
            </w:r>
          </w:p>
        </w:tc>
      </w:tr>
      <w:tr>
        <w:tc>
          <w:tcPr>
            <w:tcW w:w="21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内容保护</w:t>
            </w:r>
          </w:p>
        </w:tc>
        <w:tc>
          <w:tcPr>
            <w:tcW w:w="69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不自动改写、摘要、翻译或补全；不删除有文化含义的标点、专名和章节标题。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分块方式</w:t>
            </w:r>
          </w:p>
        </w:tc>
        <w:tc>
          <w:tcPr>
            <w:tcW w:w="6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优先按段落和句子边界切分；默认最大 800 个 Unicode 字符；支持可配置重叠。</w:t>
            </w:r>
          </w:p>
        </w:tc>
      </w:tr>
      <w:tr>
        <w:tc>
          <w:tcPr>
            <w:tcW w:w="21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稳定性</w:t>
            </w:r>
          </w:p>
        </w:tc>
        <w:tc>
          <w:tcPr>
            <w:tcW w:w="69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相同输入和配置必须产生相同顺序、相同文本和相同 chunk_id；不使用随机 UUID。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失败策略</w:t>
            </w:r>
          </w:p>
        </w:tc>
        <w:tc>
          <w:tcPr>
            <w:tcW w:w="6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空正文、缺失正文、未转写的多媒体资料进入 rejected[]。</w:t>
            </w:r>
          </w:p>
        </w:tc>
      </w:tr>
    </w:tbl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4.3 来源、授权与追溯规则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authorization_status 原样保留，不把 restricted 或 unknown 升级为 authorized。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publish=true 只被记录；对 restricted/unknown 资料产生 warning。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每个 chunk 通过 chunk_id → source_id → source_uri 追溯到原始资料定位。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台账保存 version、content_hash、created_at、updated_at，以及最近一次 request_id/trace_id。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T1 只负责保存授权状态；在线检索过滤由 T3 负责。</w:t>
      </w:r>
    </w:p>
    <w:p>
      <w:pPr>
        <w:pStyle w:val="Heading1"/>
        <w:spacing w:after="140" w:line="360" w:lineRule="auto"/>
      </w:pPr>
      <w:r>
        <w:rPr>
          <w:rFonts w:ascii="宋体" w:hAnsi="宋体" w:eastAsia="宋体"/>
          <w:sz w:val="28"/>
          <w:szCs w:val="28"/>
          <w:b/>
          <w:color w:val="1F4E79"/>
        </w:rPr>
        <w:t xml:space="preserve">5. 接口与数据格式说明</w:t>
      </w:r>
    </w:p>
    <w:p>
      <w:pPr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T0 说明书第 5 节规定：每个下游服务必须提供 GET /healthz；业务接口返回 JSON 对象；未知字段应忽略；错误使用 HTTP 状态码与稳定 error.code；响应不得返回密钥、堆栈或未经授权的原文。T1 按此基线实现。</w:t>
      </w:r>
    </w:p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5.1 服务基础信息</w:t>
      </w:r>
    </w:p>
    <w:tbl>
      <w:tblPr>
        <w:tblW w:w="9000" w:type="dxa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4" w:color="D9E2F3"/>
          <w:insideV w:val="single" w:sz="4" w:color="D9E2F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00"/>
        <w:gridCol w:w="6700"/>
      </w:tblGrid>
      <w:tr>
        <w:tc>
          <w:tcPr>
            <w:tcW w:w="23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  <w:b/>
              </w:rPr>
              <w:t xml:space="preserve">项目</w:t>
            </w:r>
          </w:p>
        </w:tc>
        <w:tc>
          <w:tcPr>
            <w:tcW w:w="67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  <w:b/>
              </w:rPr>
              <w:t xml:space="preserve">约定</w:t>
            </w:r>
          </w:p>
        </w:tc>
      </w:tr>
      <w:tr>
        <w:tc>
          <w:tcPr>
            <w:tcW w:w="23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默认地址</w:t>
            </w:r>
          </w:p>
        </w:tc>
        <w:tc>
          <w:tcPr>
            <w:tcW w:w="6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http://127.0.0.1:8101</w:t>
            </w:r>
          </w:p>
        </w:tc>
      </w:tr>
      <w:tr>
        <w:tc>
          <w:tcPr>
            <w:tcW w:w="23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T0 接入</w:t>
            </w:r>
          </w:p>
        </w:tc>
        <w:tc>
          <w:tcPr>
            <w:tcW w:w="6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T1_BASE_URL=http://127.0.0.1:8101</w:t>
            </w:r>
          </w:p>
        </w:tc>
      </w:tr>
      <w:tr>
        <w:tc>
          <w:tcPr>
            <w:tcW w:w="23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健康检查</w:t>
            </w:r>
          </w:p>
        </w:tc>
        <w:tc>
          <w:tcPr>
            <w:tcW w:w="6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GET /healthz，返回 200 和 module=T1、contract_version=1.0.0</w:t>
            </w:r>
          </w:p>
        </w:tc>
      </w:tr>
      <w:tr>
        <w:tc>
          <w:tcPr>
            <w:tcW w:w="23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就绪检查</w:t>
            </w:r>
          </w:p>
        </w:tc>
        <w:tc>
          <w:tcPr>
            <w:tcW w:w="6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GET /readyz，检查服务与 SQLite 台账是否可用</w:t>
            </w:r>
          </w:p>
        </w:tc>
      </w:tr>
      <w:tr>
        <w:tc>
          <w:tcPr>
            <w:tcW w:w="23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能力发现</w:t>
            </w:r>
          </w:p>
        </w:tc>
        <w:tc>
          <w:tcPr>
            <w:tcW w:w="6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GET /v1/capabilities</w:t>
            </w:r>
          </w:p>
        </w:tc>
      </w:tr>
      <w:tr>
        <w:tc>
          <w:tcPr>
            <w:tcW w:w="23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资料台账</w:t>
            </w:r>
          </w:p>
        </w:tc>
        <w:tc>
          <w:tcPr>
            <w:tcW w:w="6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GET /v1/sources（MVP 运维接口）</w:t>
            </w:r>
          </w:p>
        </w:tc>
      </w:tr>
    </w:tbl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5.2 核心业务接口：POST /v1/documents/normalize</w:t>
      </w:r>
    </w:p>
    <w:tbl>
      <w:tblPr>
        <w:tblW w:w="9000" w:type="dxa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4" w:color="D9E2F3"/>
          <w:insideV w:val="single" w:sz="4" w:color="D9E2F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2600"/>
        <w:gridCol w:w="1100"/>
        <w:gridCol w:w="3600"/>
      </w:tblGrid>
      <w:tr>
        <w:tc>
          <w:tcPr>
            <w:tcW w:w="17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字段</w:t>
            </w:r>
          </w:p>
        </w:tc>
        <w:tc>
          <w:tcPr>
            <w:tcW w:w="26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类型/取值</w:t>
            </w:r>
          </w:p>
        </w:tc>
        <w:tc>
          <w:tcPr>
            <w:tcW w:w="11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必填</w:t>
            </w:r>
          </w:p>
        </w:tc>
        <w:tc>
          <w:tcPr>
            <w:tcW w:w="36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说明</w:t>
            </w:r>
          </w:p>
        </w:tc>
      </w:tr>
      <w:tr>
        <w:tc>
          <w:tcPr>
            <w:tcW w:w="1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documents</w:t>
            </w:r>
          </w:p>
        </w:tc>
        <w:tc>
          <w:tcPr>
            <w:tcW w:w="2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array，1～100 项</w:t>
            </w:r>
          </w:p>
        </w:tc>
        <w:tc>
          <w:tcPr>
            <w:tcW w:w="1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是</w:t>
            </w:r>
          </w:p>
        </w:tc>
        <w:tc>
          <w:tcPr>
            <w:tcW w:w="3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待标准化资料数组。</w:t>
            </w:r>
          </w:p>
        </w:tc>
      </w:tr>
      <w:tr>
        <w:tc>
          <w:tcPr>
            <w:tcW w:w="1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source_id</w:t>
            </w:r>
          </w:p>
        </w:tc>
        <w:tc>
          <w:tcPr>
            <w:tcW w:w="26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string，1～128 字符</w:t>
            </w:r>
          </w:p>
        </w:tc>
        <w:tc>
          <w:tcPr>
            <w:tcW w:w="11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是（按 T0 MVP）</w:t>
            </w:r>
          </w:p>
        </w:tc>
        <w:tc>
          <w:tcPr>
            <w:tcW w:w="36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 校验并原样保留；分工表与 T0 的 source_id 责任存在契约矛盾。</w:t>
            </w:r>
          </w:p>
        </w:tc>
      </w:tr>
      <w:tr>
        <w:tc>
          <w:tcPr>
            <w:tcW w:w="1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source_uri</w:t>
            </w:r>
          </w:p>
        </w:tc>
        <w:tc>
          <w:tcPr>
            <w:tcW w:w="2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string</w:t>
            </w:r>
          </w:p>
        </w:tc>
        <w:tc>
          <w:tcPr>
            <w:tcW w:w="1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是</w:t>
            </w:r>
          </w:p>
        </w:tc>
        <w:tc>
          <w:tcPr>
            <w:tcW w:w="3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原始资料定位地址；仅记录，不自动访问。</w:t>
            </w:r>
          </w:p>
        </w:tc>
      </w:tr>
      <w:tr>
        <w:tc>
          <w:tcPr>
            <w:tcW w:w="1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media_type</w:t>
            </w:r>
          </w:p>
        </w:tc>
        <w:tc>
          <w:tcPr>
            <w:tcW w:w="26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text/image/audio/video/document</w:t>
            </w:r>
          </w:p>
        </w:tc>
        <w:tc>
          <w:tcPr>
            <w:tcW w:w="11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是</w:t>
            </w:r>
          </w:p>
        </w:tc>
        <w:tc>
          <w:tcPr>
            <w:tcW w:w="36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MVP 实际处理 text 和带 metadata.text 的 document。</w:t>
            </w:r>
          </w:p>
        </w:tc>
      </w:tr>
      <w:tr>
        <w:tc>
          <w:tcPr>
            <w:tcW w:w="1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title</w:t>
            </w:r>
          </w:p>
        </w:tc>
        <w:tc>
          <w:tcPr>
            <w:tcW w:w="2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string，1～300 字符</w:t>
            </w:r>
          </w:p>
        </w:tc>
        <w:tc>
          <w:tcPr>
            <w:tcW w:w="1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是</w:t>
            </w:r>
          </w:p>
        </w:tc>
        <w:tc>
          <w:tcPr>
            <w:tcW w:w="3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资料标题。</w:t>
            </w:r>
          </w:p>
        </w:tc>
      </w:tr>
      <w:tr>
        <w:tc>
          <w:tcPr>
            <w:tcW w:w="1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authorization_status</w:t>
            </w:r>
          </w:p>
        </w:tc>
        <w:tc>
          <w:tcPr>
            <w:tcW w:w="26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authorized/public/restricted/unknown</w:t>
            </w:r>
          </w:p>
        </w:tc>
        <w:tc>
          <w:tcPr>
            <w:tcW w:w="11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是</w:t>
            </w:r>
          </w:p>
        </w:tc>
        <w:tc>
          <w:tcPr>
            <w:tcW w:w="36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原样透传并写入台账。</w:t>
            </w:r>
          </w:p>
        </w:tc>
      </w:tr>
      <w:tr>
        <w:tc>
          <w:tcPr>
            <w:tcW w:w="1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metadata</w:t>
            </w:r>
          </w:p>
        </w:tc>
        <w:tc>
          <w:tcPr>
            <w:tcW w:w="2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object</w:t>
            </w:r>
          </w:p>
        </w:tc>
        <w:tc>
          <w:tcPr>
            <w:tcW w:w="11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是</w:t>
            </w:r>
          </w:p>
        </w:tc>
        <w:tc>
          <w:tcPr>
            <w:tcW w:w="3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正文放在 metadata.text；可传 language、version、reviewer 等。</w:t>
            </w:r>
          </w:p>
        </w:tc>
      </w:tr>
      <w:tr>
        <w:tc>
          <w:tcPr>
            <w:tcW w:w="1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publish</w:t>
            </w:r>
          </w:p>
        </w:tc>
        <w:tc>
          <w:tcPr>
            <w:tcW w:w="26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boolean</w:t>
            </w:r>
          </w:p>
        </w:tc>
        <w:tc>
          <w:tcPr>
            <w:tcW w:w="11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是</w:t>
            </w:r>
          </w:p>
        </w:tc>
        <w:tc>
          <w:tcPr>
            <w:tcW w:w="36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接收并记录，不改变授权状态。</w:t>
            </w:r>
          </w:p>
        </w:tc>
      </w:tr>
    </w:tbl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5.3 请求示例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shd w:fill="F2F2F2"/>
          </w:tcPr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POST /v1/documents/normalize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Content-Type: application/json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X-Trace-ID: trace-demo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X-Request-ID: request-demo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/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{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"documents": [{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"source_id": "SRC-001",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"source_uri": "https://example.org/source/1",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"media_type": "text",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"title": "资料标题",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"authorization_status": "authorized",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"metadata": {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  "text": "待清洗和切分的原始文本",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  "language": "zh-CN",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  "version": "1.0",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  "reviewer": "复核人姓名",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  "section": "历史与工艺"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  }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}],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  "publish": false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5.4 成功响应与下游硬依赖字段</w:t>
      </w:r>
    </w:p>
    <w:tbl>
      <w:tblPr>
        <w:tblW w:w="9000" w:type="dxa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4" w:color="D9E2F3"/>
          <w:insideV w:val="single" w:sz="4" w:color="D9E2F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3500"/>
        <w:gridCol w:w="3700"/>
      </w:tblGrid>
      <w:tr>
        <w:tc>
          <w:tcPr>
            <w:tcW w:w="18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  <w:b/>
              </w:rPr>
              <w:t xml:space="preserve">响应对象</w:t>
            </w:r>
          </w:p>
        </w:tc>
        <w:tc>
          <w:tcPr>
            <w:tcW w:w="35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  <w:b/>
              </w:rPr>
              <w:t xml:space="preserve">必须字段</w:t>
            </w:r>
          </w:p>
        </w:tc>
        <w:tc>
          <w:tcPr>
            <w:tcW w:w="37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  <w:b/>
              </w:rPr>
              <w:t xml:space="preserve">用途</w:t>
            </w:r>
          </w:p>
        </w:tc>
      </w:tr>
      <w:tr>
        <w:tc>
          <w:tcPr>
            <w:tcW w:w="18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records[]</w:t>
            </w:r>
          </w:p>
        </w:tc>
        <w:tc>
          <w:tcPr>
            <w:tcW w:w="35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source_id、title、source_uri、authorization_status、chunks[]</w:t>
            </w:r>
          </w:p>
        </w:tc>
        <w:tc>
          <w:tcPr>
            <w:tcW w:w="3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T0 将记录转发给 T2/T3。</w:t>
            </w:r>
          </w:p>
        </w:tc>
      </w:tr>
      <w:tr>
        <w:tc>
          <w:tcPr>
            <w:tcW w:w="18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chunks[]</w:t>
            </w:r>
          </w:p>
        </w:tc>
        <w:tc>
          <w:tcPr>
            <w:tcW w:w="35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chunk_id、text</w:t>
            </w:r>
          </w:p>
        </w:tc>
        <w:tc>
          <w:tcPr>
            <w:tcW w:w="3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T3 建立索引，T2 关联资料来源。</w:t>
            </w:r>
          </w:p>
        </w:tc>
      </w:tr>
      <w:tr>
        <w:tc>
          <w:tcPr>
            <w:tcW w:w="18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建议扩展字段</w:t>
            </w:r>
          </w:p>
        </w:tc>
        <w:tc>
          <w:tcPr>
            <w:tcW w:w="35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media_type、metadata、sequence、section、language</w:t>
            </w:r>
          </w:p>
        </w:tc>
        <w:tc>
          <w:tcPr>
            <w:tcW w:w="3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用于治理、检索过滤和展示。</w:t>
            </w:r>
          </w:p>
        </w:tc>
      </w:tr>
      <w:tr>
        <w:tc>
          <w:tcPr>
            <w:tcW w:w="18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rejected[]</w:t>
            </w:r>
          </w:p>
        </w:tc>
        <w:tc>
          <w:tcPr>
            <w:tcW w:w="35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source_id、title、code、message</w:t>
            </w:r>
          </w:p>
        </w:tc>
        <w:tc>
          <w:tcPr>
            <w:tcW w:w="3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单项失败原因。</w:t>
            </w:r>
          </w:p>
        </w:tc>
      </w:tr>
      <w:tr>
        <w:tc>
          <w:tcPr>
            <w:tcW w:w="18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warnings[]</w:t>
            </w:r>
          </w:p>
        </w:tc>
        <w:tc>
          <w:tcPr>
            <w:tcW w:w="35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字符串数组</w:t>
            </w:r>
          </w:p>
        </w:tc>
        <w:tc>
          <w:tcPr>
            <w:tcW w:w="3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授权或其他非阻断提醒。</w:t>
            </w:r>
          </w:p>
        </w:tc>
      </w:tr>
    </w:tbl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5.5 错误和请求追踪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支持 X-Trace-ID、X-Request-ID；未提供时生成可用于定位的标识。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统一错误对象至少包含 code、message、trace_id、retryable、details。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不返回 Python 堆栈、认证令牌或未授权的完整原始正文。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缺少 metadata.text 时进入 rejected[]，不影响同批其他资料。</w:t>
      </w:r>
    </w:p>
    <w:p>
      <w:pPr>
        <w:pStyle w:val="Heading1"/>
        <w:spacing w:after="140" w:line="360" w:lineRule="auto"/>
      </w:pPr>
      <w:r>
        <w:rPr>
          <w:rFonts w:ascii="宋体" w:hAnsi="宋体" w:eastAsia="宋体"/>
          <w:sz w:val="28"/>
          <w:szCs w:val="28"/>
          <w:b/>
          <w:color w:val="1F4E79"/>
        </w:rPr>
        <w:t xml:space="preserve">6. 资料台账与元数据规范</w:t>
      </w:r>
    </w:p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6.1 元数据字段</w:t>
      </w:r>
    </w:p>
    <w:tbl>
      <w:tblPr>
        <w:tblW w:w="9000" w:type="dxa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4" w:color="D9E2F3"/>
          <w:insideV w:val="single" w:sz="4" w:color="D9E2F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2500"/>
        <w:gridCol w:w="4300"/>
      </w:tblGrid>
      <w:tr>
        <w:tc>
          <w:tcPr>
            <w:tcW w:w="22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  <w:b/>
              </w:rPr>
              <w:t xml:space="preserve">字段</w:t>
            </w:r>
          </w:p>
        </w:tc>
        <w:tc>
          <w:tcPr>
            <w:tcW w:w="25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  <w:b/>
              </w:rPr>
              <w:t xml:space="preserve">来源/类型</w:t>
            </w:r>
          </w:p>
        </w:tc>
        <w:tc>
          <w:tcPr>
            <w:tcW w:w="43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  <w:b/>
              </w:rPr>
              <w:t xml:space="preserve">当前处理方式</w:t>
            </w:r>
          </w:p>
        </w:tc>
      </w:tr>
      <w:tr>
        <w:tc>
          <w:tcPr>
            <w:tcW w:w="22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source_id</w:t>
            </w:r>
          </w:p>
        </w:tc>
        <w:tc>
          <w:tcPr>
            <w:tcW w:w="25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调用方/T0 字符串</w:t>
            </w:r>
          </w:p>
        </w:tc>
        <w:tc>
          <w:tcPr>
            <w:tcW w:w="43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校验并原样保留；作为台账主键和 chunk_id 前缀。</w:t>
            </w:r>
          </w:p>
        </w:tc>
      </w:tr>
      <w:tr>
        <w:tc>
          <w:tcPr>
            <w:tcW w:w="22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source_uri</w:t>
            </w:r>
          </w:p>
        </w:tc>
        <w:tc>
          <w:tcPr>
            <w:tcW w:w="25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调用方字符串</w:t>
            </w:r>
          </w:p>
        </w:tc>
        <w:tc>
          <w:tcPr>
            <w:tcW w:w="43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记录原始定位地址，不自动下载。</w:t>
            </w:r>
          </w:p>
        </w:tc>
      </w:tr>
      <w:tr>
        <w:tc>
          <w:tcPr>
            <w:tcW w:w="22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authorization_status</w:t>
            </w:r>
          </w:p>
        </w:tc>
        <w:tc>
          <w:tcPr>
            <w:tcW w:w="25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枚举</w:t>
            </w:r>
          </w:p>
        </w:tc>
        <w:tc>
          <w:tcPr>
            <w:tcW w:w="43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authorized/public/restricted/unknown 原样保留。</w:t>
            </w:r>
          </w:p>
        </w:tc>
      </w:tr>
      <w:tr>
        <w:tc>
          <w:tcPr>
            <w:tcW w:w="22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language</w:t>
            </w:r>
          </w:p>
        </w:tc>
        <w:tc>
          <w:tcPr>
            <w:tcW w:w="25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metadata.language</w:t>
            </w:r>
          </w:p>
        </w:tc>
        <w:tc>
          <w:tcPr>
            <w:tcW w:w="43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透传到 record/chunk，并写入台账。</w:t>
            </w:r>
          </w:p>
        </w:tc>
      </w:tr>
      <w:tr>
        <w:tc>
          <w:tcPr>
            <w:tcW w:w="22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version</w:t>
            </w:r>
          </w:p>
        </w:tc>
        <w:tc>
          <w:tcPr>
            <w:tcW w:w="25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metadata.version</w:t>
            </w:r>
          </w:p>
        </w:tc>
        <w:tc>
          <w:tcPr>
            <w:tcW w:w="43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透传并写入台账；尚未形成完整历史版本链。</w:t>
            </w:r>
          </w:p>
        </w:tc>
      </w:tr>
      <w:tr>
        <w:tc>
          <w:tcPr>
            <w:tcW w:w="22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reviewer / reviewed_at</w:t>
            </w:r>
          </w:p>
        </w:tc>
        <w:tc>
          <w:tcPr>
            <w:tcW w:w="25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metadata 字段</w:t>
            </w:r>
          </w:p>
        </w:tc>
        <w:tc>
          <w:tcPr>
            <w:tcW w:w="43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保存已有信息；仅有字段和模板，没有审核工作流。</w:t>
            </w:r>
          </w:p>
        </w:tc>
      </w:tr>
      <w:tr>
        <w:tc>
          <w:tcPr>
            <w:tcW w:w="22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audience / scenario / difficulty</w:t>
            </w:r>
          </w:p>
        </w:tc>
        <w:tc>
          <w:tcPr>
            <w:tcW w:w="25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metadata 字段</w:t>
            </w:r>
          </w:p>
        </w:tc>
        <w:tc>
          <w:tcPr>
            <w:tcW w:w="43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支持记录；完整分类和标注流程后续完善。</w:t>
            </w:r>
          </w:p>
        </w:tc>
      </w:tr>
      <w:tr>
        <w:tc>
          <w:tcPr>
            <w:tcW w:w="22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content_hash</w:t>
            </w:r>
          </w:p>
        </w:tc>
        <w:tc>
          <w:tcPr>
            <w:tcW w:w="25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T1 计算</w:t>
            </w:r>
          </w:p>
        </w:tc>
        <w:tc>
          <w:tcPr>
            <w:tcW w:w="43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7"/>
                <w:szCs w:val="17"/>
              </w:rPr>
              <w:t xml:space="preserve">清洗后正文 SHA-256，用于一致性和去重基础。</w:t>
            </w:r>
          </w:p>
        </w:tc>
      </w:tr>
    </w:tbl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6.2 SQLite 台账</w:t>
      </w:r>
    </w:p>
    <w:p>
      <w:pPr>
        <w:ind w:firstLine="480"/>
        <w:spacing w:after="100" w:line="360" w:lineRule="auto"/>
      </w:pPr>
      <w:r>
        <w:rPr>
          <w:rFonts w:ascii="宋体" w:hAnsi="宋体" w:eastAsia="宋体"/>
          <w:sz w:val="21"/>
          <w:szCs w:val="21"/>
        </w:rPr>
        <w:t xml:space="preserve">MVP 使用 Python 内置 SQLite，默认数据库路径由 T1_DB_PATH 配置。source_ledger 表保存 source_id、source_uri、title、media_type、authorization_status、language、version、reviewer、content_hash、chunk_count、publish、metadata_json、created_at、updated_at、trace_id 和 request_id。</w:t>
      </w:r>
    </w:p>
    <w:tbl>
      <w:tblPr>
        <w:tblW w:w="9000" w:type="dxa"/>
        <w:tblBorders>
          <w:top w:val="single" w:sz="12" w:color="2F75B5"/>
          <w:left w:val="single" w:sz="12" w:color="2F75B5"/>
          <w:bottom w:val="single" w:sz="12" w:color="2F75B5"/>
          <w:right w:val="single" w:sz="12" w:color="2F75B5"/>
        </w:tblBorders>
        <w:tblCellMar>
          <w:top w:w="130" w:type="dxa"/>
          <w:left w:w="170" w:type="dxa"/>
          <w:bottom w:w="130" w:type="dxa"/>
          <w:right w:w="170" w:type="dxa"/>
        </w:tblCellMar>
      </w:tblPr>
      <w:tblGrid>
        <w:gridCol w:w="9000"/>
      </w:tblGrid>
      <w:tr>
        <w:tc>
          <w:tcPr>
            <w:shd w:fill="EAF3F8"/>
          </w:tcPr>
          <w:p>
            <w:pPr>
              <w:spacing w:after="40" w:line="360" w:lineRule="auto"/>
            </w:pPr>
            <w:r>
              <w:rPr>
                <w:rFonts w:ascii="宋体" w:hAnsi="宋体" w:eastAsia="宋体"/>
                <w:sz w:val="22"/>
                <w:szCs w:val="22"/>
                <w:b/>
                <w:color w:val="1F4E79"/>
              </w:rPr>
              <w:t xml:space="preserve">版本审计状态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当前版本具备版本字段、更新时间和内容哈希，但同一 source_id 重复提交采用更新式写入，尚未形成完整的历史版本留存、差异比较、回滚和审计流水。</w:t>
            </w:r>
          </w:p>
        </w:tc>
      </w:tr>
    </w:tbl>
    <w:p>
      <w:pPr>
        <w:pStyle w:val="Heading1"/>
        <w:spacing w:after="140" w:line="360" w:lineRule="auto"/>
      </w:pPr>
      <w:r>
        <w:rPr>
          <w:rFonts w:ascii="宋体" w:hAnsi="宋体" w:eastAsia="宋体"/>
          <w:sz w:val="28"/>
          <w:szCs w:val="28"/>
          <w:b/>
          <w:color w:val="1F4E79"/>
        </w:rPr>
        <w:t xml:space="preserve">7. 部署、配置与交付物</w:t>
      </w:r>
    </w:p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7.1 启动方式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shd w:fill="F2F2F2"/>
          </w:tcPr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cd C:\Users\sunbu\Documents\非遗AI解说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python -m venv .venv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.\.venv\Scripts\Activate.ps1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pip install -r t1\requirements-dev.txt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$env:T1_DB_PATH = ".\t1\data\t1.db"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python -m uvicorn t1.t1_service.api:create_app --factory --host 127.0.0.1 --port 8101</w:t>
            </w:r>
          </w:p>
        </w:tc>
      </w:tr>
    </w:tbl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7.2 代码和样例映射</w:t>
      </w:r>
    </w:p>
    <w:tbl>
      <w:tblPr>
        <w:tblW w:w="9000" w:type="dxa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4" w:color="D9E2F3"/>
          <w:insideV w:val="single" w:sz="4" w:color="D9E2F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000"/>
        <w:gridCol w:w="4000"/>
        <w:gridCol w:w="3000"/>
      </w:tblGrid>
      <w:tr>
        <w:tc>
          <w:tcPr>
            <w:tcW w:w="20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交付物</w:t>
            </w:r>
          </w:p>
        </w:tc>
        <w:tc>
          <w:tcPr>
            <w:tcW w:w="40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路径</w:t>
            </w:r>
          </w:p>
        </w:tc>
        <w:tc>
          <w:tcPr>
            <w:tcW w:w="30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用途</w:t>
            </w:r>
          </w:p>
        </w:tc>
      </w:tr>
      <w:tr>
        <w:tc>
          <w:tcPr>
            <w:tcW w:w="20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 服务代码</w:t>
            </w:r>
          </w:p>
        </w:tc>
        <w:tc>
          <w:tcPr>
            <w:tcW w:w="40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C:\Users\sunbu\Documents\非遗AI解说\t1\t1_service</w:t>
            </w:r>
          </w:p>
        </w:tc>
        <w:tc>
          <w:tcPr>
            <w:tcW w:w="30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API、清洗、分块、处理和台账实现。</w:t>
            </w:r>
          </w:p>
        </w:tc>
      </w:tr>
      <w:tr>
        <w:tc>
          <w:tcPr>
            <w:tcW w:w="20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模块说明</w:t>
            </w:r>
          </w:p>
        </w:tc>
        <w:tc>
          <w:tcPr>
            <w:tcW w:w="40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t1/README.md</w:t>
            </w:r>
          </w:p>
        </w:tc>
        <w:tc>
          <w:tcPr>
            <w:tcW w:w="30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启动、接口、边界和治理规则。</w:t>
            </w:r>
          </w:p>
        </w:tc>
      </w:tr>
      <w:tr>
        <w:tc>
          <w:tcPr>
            <w:tcW w:w="20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依赖与配置</w:t>
            </w:r>
          </w:p>
        </w:tc>
        <w:tc>
          <w:tcPr>
            <w:tcW w:w="40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t1/requirements*.txt、t1/.env.example</w:t>
            </w:r>
          </w:p>
        </w:tc>
        <w:tc>
          <w:tcPr>
            <w:tcW w:w="30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运行依赖和环境变量模板。</w:t>
            </w:r>
          </w:p>
        </w:tc>
      </w:tr>
      <w:tr>
        <w:tc>
          <w:tcPr>
            <w:tcW w:w="20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请求/响应样例</w:t>
            </w:r>
          </w:p>
        </w:tc>
        <w:tc>
          <w:tcPr>
            <w:tcW w:w="40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t1/examples/normalize-request.json、normalize-response.json</w:t>
            </w:r>
          </w:p>
        </w:tc>
        <w:tc>
          <w:tcPr>
            <w:tcW w:w="30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验收输入和输出。</w:t>
            </w:r>
          </w:p>
        </w:tc>
      </w:tr>
      <w:tr>
        <w:tc>
          <w:tcPr>
            <w:tcW w:w="20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台账/复核样例</w:t>
            </w:r>
          </w:p>
        </w:tc>
        <w:tc>
          <w:tcPr>
            <w:tcW w:w="40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t1/examples/source-ledger.csv、review-sample.md</w:t>
            </w:r>
          </w:p>
        </w:tc>
        <w:tc>
          <w:tcPr>
            <w:tcW w:w="30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台账示例和复核记录模板。</w:t>
            </w:r>
          </w:p>
        </w:tc>
      </w:tr>
      <w:tr>
        <w:tc>
          <w:tcPr>
            <w:tcW w:w="20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自动化测试</w:t>
            </w:r>
          </w:p>
        </w:tc>
        <w:tc>
          <w:tcPr>
            <w:tcW w:w="40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t1/tests/test_api.py、test_core.py</w:t>
            </w:r>
          </w:p>
        </w:tc>
        <w:tc>
          <w:tcPr>
            <w:tcW w:w="30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API 和核心处理逻辑测试。</w:t>
            </w:r>
          </w:p>
        </w:tc>
      </w:tr>
    </w:tbl>
    <w:p>
      <w:pPr>
        <w:pStyle w:val="Heading1"/>
        <w:spacing w:after="140" w:line="360" w:lineRule="auto"/>
      </w:pPr>
      <w:r>
        <w:rPr>
          <w:rFonts w:ascii="宋体" w:hAnsi="宋体" w:eastAsia="宋体"/>
          <w:sz w:val="28"/>
          <w:szCs w:val="28"/>
          <w:b/>
          <w:color w:val="1F4E79"/>
        </w:rPr>
        <w:t xml:space="preserve">8. 验收定义与当前进度</w:t>
      </w:r>
    </w:p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8.1 MVP 已完成验收项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healthz、readyz、capabilities、sources 和 normalize 接口已实现。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文字资料完成接收、清洗、确定性分块并返回 records[]。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chunk_id 按 source_id-0001 规则稳定生成。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来源、授权状态、语言、版本、复核人和内容哈希可进入台账。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缺少正文和未提取的 image/audio/video 资料会明确 rejected，不生成虚假内容。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restricted/unknown 不会被自动升级为 authorized；publish=true 不改变授权状态。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提供 README、配置、JSON/CSV/Markdown 样例和自动化测试。</w:t>
      </w:r>
    </w:p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8.2 尚未完成的完整工作包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网页或 source_uri 自动抓取。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Word、PDF 等文件直接解析。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图片 OCR、音频 ASR、视频字幕/音轨解析。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基于内容哈希和近似匹配的自动去重。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完整历史版本审计、差异比较和回滚。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专家/传承人审核工作流与审核状态阻断。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原始文件持久化、对象存储和页码/时间码级回链。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生产级权限、密钥管理和大批量异步任务。</w:t>
      </w:r>
    </w:p>
    <w:p>
      <w:pPr>
        <w:pStyle w:val="Heading2"/>
        <w:spacing w:after="140" w:line="360" w:lineRule="auto"/>
      </w:pPr>
      <w:r>
        <w:rPr>
          <w:rFonts w:ascii="宋体" w:hAnsi="宋体" w:eastAsia="宋体"/>
          <w:sz w:val="23"/>
          <w:szCs w:val="23"/>
          <w:b/>
          <w:color w:val="2F75B5"/>
        </w:rPr>
        <w:t xml:space="preserve">8.3 建议验收样例</w:t>
      </w:r>
    </w:p>
    <w:tbl>
      <w:tblPr>
        <w:tblW w:w="9000" w:type="dxa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4" w:color="D9E2F3"/>
          <w:insideV w:val="single" w:sz="4" w:color="D9E2F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00"/>
        <w:gridCol w:w="1900"/>
        <w:gridCol w:w="3200"/>
        <w:gridCol w:w="2600"/>
      </w:tblGrid>
      <w:tr>
        <w:tc>
          <w:tcPr>
            <w:tcW w:w="13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编号</w:t>
            </w:r>
          </w:p>
        </w:tc>
        <w:tc>
          <w:tcPr>
            <w:tcW w:w="19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场景</w:t>
            </w:r>
          </w:p>
        </w:tc>
        <w:tc>
          <w:tcPr>
            <w:tcW w:w="32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输入</w:t>
            </w:r>
          </w:p>
        </w:tc>
        <w:tc>
          <w:tcPr>
            <w:tcW w:w="26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期望结果</w:t>
            </w:r>
          </w:p>
        </w:tc>
      </w:tr>
      <w:tr>
        <w:tc>
          <w:tcPr>
            <w:tcW w:w="13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T1-E01</w:t>
            </w:r>
          </w:p>
        </w:tc>
        <w:tc>
          <w:tcPr>
            <w:tcW w:w="1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中文文字资料</w:t>
            </w:r>
          </w:p>
        </w:tc>
        <w:tc>
          <w:tcPr>
            <w:tcW w:w="32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authorized + metadata.text</w:t>
            </w:r>
          </w:p>
        </w:tc>
        <w:tc>
          <w:tcPr>
            <w:tcW w:w="2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返回 records[]，chunk_id 稳定，语言和版本可回溯。</w:t>
            </w:r>
          </w:p>
        </w:tc>
      </w:tr>
      <w:tr>
        <w:tc>
          <w:tcPr>
            <w:tcW w:w="13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T1-E02</w:t>
            </w:r>
          </w:p>
        </w:tc>
        <w:tc>
          <w:tcPr>
            <w:tcW w:w="19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混合批次部分失败</w:t>
            </w:r>
          </w:p>
        </w:tc>
        <w:tc>
          <w:tcPr>
            <w:tcW w:w="32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一条有正文、一条缺正文</w:t>
            </w:r>
          </w:p>
        </w:tc>
        <w:tc>
          <w:tcPr>
            <w:tcW w:w="26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成功资料进入 records[]；缺失资料进入 rejected[]。</w:t>
            </w:r>
          </w:p>
        </w:tc>
      </w:tr>
      <w:tr>
        <w:tc>
          <w:tcPr>
            <w:tcW w:w="13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T1-E03</w:t>
            </w:r>
          </w:p>
        </w:tc>
        <w:tc>
          <w:tcPr>
            <w:tcW w:w="1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受限资料发布意图</w:t>
            </w:r>
          </w:p>
        </w:tc>
        <w:tc>
          <w:tcPr>
            <w:tcW w:w="32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restricted/unknown + publish=true</w:t>
            </w:r>
          </w:p>
        </w:tc>
        <w:tc>
          <w:tcPr>
            <w:tcW w:w="2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授权状态不变，并返回 warning。</w:t>
            </w:r>
          </w:p>
        </w:tc>
      </w:tr>
      <w:tr>
        <w:tc>
          <w:tcPr>
            <w:tcW w:w="13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T1-E04</w:t>
            </w:r>
          </w:p>
        </w:tc>
        <w:tc>
          <w:tcPr>
            <w:tcW w:w="19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多媒体未转写</w:t>
            </w:r>
          </w:p>
        </w:tc>
        <w:tc>
          <w:tcPr>
            <w:tcW w:w="32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image/audio/video 且无 metadata.text</w:t>
            </w:r>
          </w:p>
        </w:tc>
        <w:tc>
          <w:tcPr>
            <w:tcW w:w="26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返回 UNSUPPORTED_MEDIA_FOR_MVP，不生成 chunk。</w:t>
            </w:r>
          </w:p>
        </w:tc>
      </w:tr>
      <w:tr>
        <w:tc>
          <w:tcPr>
            <w:tcW w:w="13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T1-E05</w:t>
            </w:r>
          </w:p>
        </w:tc>
        <w:tc>
          <w:tcPr>
            <w:tcW w:w="19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重复请求</w:t>
            </w:r>
          </w:p>
        </w:tc>
        <w:tc>
          <w:tcPr>
            <w:tcW w:w="32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相同 source_id、正文和分块配置</w:t>
            </w:r>
          </w:p>
        </w:tc>
        <w:tc>
          <w:tcPr>
            <w:tcW w:w="2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清洗结果和 chunk_id 完全一致；台账可查询。</w:t>
            </w:r>
          </w:p>
        </w:tc>
      </w:tr>
    </w:tbl>
    <w:p>
      <w:pPr>
        <w:pStyle w:val="Heading1"/>
        <w:spacing w:after="140" w:line="360" w:lineRule="auto"/>
      </w:pPr>
      <w:r>
        <w:rPr>
          <w:rFonts w:ascii="宋体" w:hAnsi="宋体" w:eastAsia="宋体"/>
          <w:sz w:val="28"/>
          <w:szCs w:val="28"/>
          <w:b/>
          <w:color w:val="1F4E79"/>
        </w:rPr>
        <w:t xml:space="preserve">9. 风险、限制与后续迭代</w:t>
      </w:r>
    </w:p>
    <w:tbl>
      <w:tblPr>
        <w:tblW w:w="9000" w:type="dxa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4" w:color="D9E2F3"/>
          <w:insideV w:val="single" w:sz="4" w:color="D9E2F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000"/>
        <w:gridCol w:w="2300"/>
        <w:gridCol w:w="2500"/>
        <w:gridCol w:w="2200"/>
      </w:tblGrid>
      <w:tr>
        <w:tc>
          <w:tcPr>
            <w:tcW w:w="20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  <w:b/>
              </w:rPr>
              <w:t xml:space="preserve">当前限制</w:t>
            </w:r>
          </w:p>
        </w:tc>
        <w:tc>
          <w:tcPr>
            <w:tcW w:w="23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  <w:b/>
              </w:rPr>
              <w:t xml:space="preserve">影响</w:t>
            </w:r>
          </w:p>
        </w:tc>
        <w:tc>
          <w:tcPr>
            <w:tcW w:w="25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  <w:b/>
              </w:rPr>
              <w:t xml:space="preserve">控制措施</w:t>
            </w:r>
          </w:p>
        </w:tc>
        <w:tc>
          <w:tcPr>
            <w:tcW w:w="22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  <w:b/>
              </w:rPr>
              <w:t xml:space="preserve">后续方向</w:t>
            </w:r>
          </w:p>
        </w:tc>
      </w:tr>
      <w:tr>
        <w:tc>
          <w:tcPr>
            <w:tcW w:w="20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仅处理预提取文字</w:t>
            </w:r>
          </w:p>
        </w:tc>
        <w:tc>
          <w:tcPr>
            <w:tcW w:w="23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多媒体资料暂不能自动进入知识库</w:t>
            </w:r>
          </w:p>
        </w:tc>
        <w:tc>
          <w:tcPr>
            <w:tcW w:w="25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明确 rejected code，不生成虚假文本</w:t>
            </w:r>
          </w:p>
        </w:tc>
        <w:tc>
          <w:tcPr>
            <w:tcW w:w="22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接入文档解析、OCR、ASR、视频解析。</w:t>
            </w:r>
          </w:p>
        </w:tc>
      </w:tr>
      <w:tr>
        <w:tc>
          <w:tcPr>
            <w:tcW w:w="20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不访问 source_uri</w:t>
            </w:r>
          </w:p>
        </w:tc>
        <w:tc>
          <w:tcPr>
            <w:tcW w:w="23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不能自动抓取网页</w:t>
            </w:r>
          </w:p>
        </w:tc>
        <w:tc>
          <w:tcPr>
            <w:tcW w:w="25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调用方先提交正文；避免 SSRF 和版权风险</w:t>
            </w:r>
          </w:p>
        </w:tc>
        <w:tc>
          <w:tcPr>
            <w:tcW w:w="22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建立白名单采集器和安全下载队列。</w:t>
            </w:r>
          </w:p>
        </w:tc>
      </w:tr>
      <w:tr>
        <w:tc>
          <w:tcPr>
            <w:tcW w:w="20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SQLite 轻量台账</w:t>
            </w:r>
          </w:p>
        </w:tc>
        <w:tc>
          <w:tcPr>
            <w:tcW w:w="23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不适合高并发和复杂历史审计</w:t>
            </w:r>
          </w:p>
        </w:tc>
        <w:tc>
          <w:tcPr>
            <w:tcW w:w="25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MVP 单实例演示</w:t>
            </w:r>
          </w:p>
        </w:tc>
        <w:tc>
          <w:tcPr>
            <w:tcW w:w="22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迁移对象存储、关系库和版本审计服务。</w:t>
            </w:r>
          </w:p>
        </w:tc>
      </w:tr>
      <w:tr>
        <w:tc>
          <w:tcPr>
            <w:tcW w:w="20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仅保存当前 source_id 记录</w:t>
            </w:r>
          </w:p>
        </w:tc>
        <w:tc>
          <w:tcPr>
            <w:tcW w:w="23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历史版本查询能力不足</w:t>
            </w:r>
          </w:p>
        </w:tc>
        <w:tc>
          <w:tcPr>
            <w:tcW w:w="25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保留 version、hash、更新时间</w:t>
            </w:r>
          </w:p>
        </w:tc>
        <w:tc>
          <w:tcPr>
            <w:tcW w:w="22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增加版本表、差异和回滚接口。</w:t>
            </w:r>
          </w:p>
        </w:tc>
      </w:tr>
      <w:tr>
        <w:tc>
          <w:tcPr>
            <w:tcW w:w="20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复核字段/模板而非流程</w:t>
            </w:r>
          </w:p>
        </w:tc>
        <w:tc>
          <w:tcPr>
            <w:tcW w:w="23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不能证明专家确认</w:t>
            </w:r>
          </w:p>
        </w:tc>
        <w:tc>
          <w:tcPr>
            <w:tcW w:w="25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示例明确标注待填写</w:t>
            </w:r>
          </w:p>
        </w:tc>
        <w:tc>
          <w:tcPr>
            <w:tcW w:w="22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5"/>
                <w:szCs w:val="15"/>
              </w:rPr>
              <w:t xml:space="preserve">增加审核任务、状态和专家签名。</w:t>
            </w:r>
          </w:p>
        </w:tc>
      </w:tr>
    </w:tbl>
    <w:tbl>
      <w:tblPr>
        <w:tblW w:w="9000" w:type="dxa"/>
        <w:tblBorders>
          <w:top w:val="single" w:sz="12" w:color="2F75B5"/>
          <w:left w:val="single" w:sz="12" w:color="2F75B5"/>
          <w:bottom w:val="single" w:sz="12" w:color="2F75B5"/>
          <w:right w:val="single" w:sz="12" w:color="2F75B5"/>
        </w:tblBorders>
        <w:tblCellMar>
          <w:top w:w="130" w:type="dxa"/>
          <w:left w:w="170" w:type="dxa"/>
          <w:bottom w:w="130" w:type="dxa"/>
          <w:right w:w="170" w:type="dxa"/>
        </w:tblCellMar>
      </w:tblPr>
      <w:tblGrid>
        <w:gridCol w:w="9000"/>
      </w:tblGrid>
      <w:tr>
        <w:tc>
          <w:tcPr>
            <w:shd w:fill="EAF3F8"/>
          </w:tcPr>
          <w:p>
            <w:pPr>
              <w:spacing w:after="40" w:line="360" w:lineRule="auto"/>
            </w:pPr>
            <w:r>
              <w:rPr>
                <w:rFonts w:ascii="宋体" w:hAnsi="宋体" w:eastAsia="宋体"/>
                <w:sz w:val="22"/>
                <w:szCs w:val="22"/>
                <w:b/>
                <w:color w:val="1F4E79"/>
              </w:rPr>
              <w:t xml:space="preserve">联调提醒</w:t>
            </w:r>
          </w:p>
          <w:p>
            <w:pPr>
              <w:spacing w:after="0" w:line="360" w:lineRule="auto"/>
            </w:pPr>
            <w:r>
              <w:rPr>
                <w:rFonts w:ascii="宋体" w:hAnsi="宋体" w:eastAsia="宋体"/>
                <w:sz w:val="19"/>
                <w:szCs w:val="19"/>
              </w:rPr>
              <w:t xml:space="preserve">T0 当前请求模型把 source_id 设为必填，而分工表写有“source_id 由 T1 创建”。本 MVP 以 T0 v1.0.0 实际契约为准：调用方传入 source_id，T1 验证并原样保留；chunk_id 由 T1 生成。若要改变 source_id 责任归属，应先提交契约变更提案。</w:t>
            </w:r>
          </w:p>
        </w:tc>
      </w:tr>
    </w:tbl>
    <w:p>
      <w:pPr>
        <w:pStyle w:val="Heading1"/>
        <w:spacing w:after="140" w:line="360" w:lineRule="auto"/>
      </w:pPr>
      <w:r>
        <w:rPr>
          <w:rFonts w:ascii="宋体" w:hAnsi="宋体" w:eastAsia="宋体"/>
          <w:sz w:val="28"/>
          <w:szCs w:val="28"/>
          <w:b/>
          <w:color w:val="1F4E79"/>
        </w:rPr>
        <w:t xml:space="preserve">附录 A T1 交付清单与文件映射</w:t>
      </w:r>
    </w:p>
    <w:tbl>
      <w:tblPr>
        <w:tblW w:w="9000" w:type="dxa"/>
        <w:tblLayout w:type="fixed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4" w:color="D9E2F3"/>
          <w:insideV w:val="single" w:sz="4" w:color="D9E2F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700"/>
        <w:gridCol w:w="2700"/>
        <w:gridCol w:w="3600"/>
      </w:tblGrid>
      <w:tr>
        <w:tc>
          <w:tcPr>
            <w:tcW w:w="27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分工表第五节交付物</w:t>
            </w:r>
          </w:p>
        </w:tc>
        <w:tc>
          <w:tcPr>
            <w:tcW w:w="27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T1 当前交付</w:t>
            </w:r>
          </w:p>
        </w:tc>
        <w:tc>
          <w:tcPr>
            <w:tcW w:w="3600" w:type="dxa"/>
            <w:shd w:fill="D9EAF7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  <w:b/>
              </w:rPr>
              <w:t xml:space="preserve">对应文件/说明</w:t>
            </w:r>
          </w:p>
        </w:tc>
      </w:tr>
      <w:tr>
        <w:tc>
          <w:tcPr>
            <w:tcW w:w="2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模块说明</w:t>
            </w:r>
          </w:p>
        </w:tc>
        <w:tc>
          <w:tcPr>
            <w:tcW w:w="2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已完成 MVP 说明</w:t>
            </w:r>
          </w:p>
        </w:tc>
        <w:tc>
          <w:tcPr>
            <w:tcW w:w="3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本文档；t1/README.md</w:t>
            </w:r>
          </w:p>
        </w:tc>
      </w:tr>
      <w:tr>
        <w:tc>
          <w:tcPr>
            <w:tcW w:w="2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可运行代码或配置</w:t>
            </w:r>
          </w:p>
        </w:tc>
        <w:tc>
          <w:tcPr>
            <w:tcW w:w="2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已完成 MVP 服务</w:t>
            </w:r>
          </w:p>
        </w:tc>
        <w:tc>
          <w:tcPr>
            <w:tcW w:w="36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t1/t1_service/；requirements*.txt；.env.example</w:t>
            </w:r>
          </w:p>
        </w:tc>
      </w:tr>
      <w:tr>
        <w:tc>
          <w:tcPr>
            <w:tcW w:w="2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接口/数据格式说明</w:t>
            </w:r>
          </w:p>
        </w:tc>
        <w:tc>
          <w:tcPr>
            <w:tcW w:w="2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已完成核心契约说明</w:t>
            </w:r>
          </w:p>
        </w:tc>
        <w:tc>
          <w:tcPr>
            <w:tcW w:w="3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本文档第 5、6 节；examples/*.json</w:t>
            </w:r>
          </w:p>
        </w:tc>
      </w:tr>
      <w:tr>
        <w:tc>
          <w:tcPr>
            <w:tcW w:w="2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可复现验收样例</w:t>
            </w:r>
          </w:p>
        </w:tc>
        <w:tc>
          <w:tcPr>
            <w:tcW w:w="2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已提供样例和测试</w:t>
            </w:r>
          </w:p>
        </w:tc>
        <w:tc>
          <w:tcPr>
            <w:tcW w:w="36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examples/；tests/</w:t>
            </w:r>
          </w:p>
        </w:tc>
      </w:tr>
      <w:tr>
        <w:tc>
          <w:tcPr>
            <w:tcW w:w="2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资料台账</w:t>
            </w:r>
          </w:p>
        </w:tc>
        <w:tc>
          <w:tcPr>
            <w:tcW w:w="2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已完成 SQLite 轻量台账</w:t>
            </w:r>
          </w:p>
        </w:tc>
        <w:tc>
          <w:tcPr>
            <w:tcW w:w="3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t1_service/ledger.py；GET /v1/sources</w:t>
            </w:r>
          </w:p>
        </w:tc>
      </w:tr>
      <w:tr>
        <w:tc>
          <w:tcPr>
            <w:tcW w:w="2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抽样复核记录</w:t>
            </w:r>
          </w:p>
        </w:tc>
        <w:tc>
          <w:tcPr>
            <w:tcW w:w="27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已提供模板，真实复核待补</w:t>
            </w:r>
          </w:p>
        </w:tc>
        <w:tc>
          <w:tcPr>
            <w:tcW w:w="3600" w:type="dxa"/>
            <w:shd w:fill="F7FBFD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examples/review-sample.md</w:t>
            </w:r>
          </w:p>
        </w:tc>
      </w:tr>
      <w:tr>
        <w:tc>
          <w:tcPr>
            <w:tcW w:w="2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完整多类型采集</w:t>
            </w:r>
          </w:p>
        </w:tc>
        <w:tc>
          <w:tcPr>
            <w:tcW w:w="27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未完成，列入后续迭代</w:t>
            </w:r>
          </w:p>
        </w:tc>
        <w:tc>
          <w:tcPr>
            <w:tcW w:w="3600" w:type="dxa"/>
            <w:shd w:fill="FFFFFF"/>
          </w:tcPr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OCR/ASR/文件解析/网页采集待实现</w:t>
            </w:r>
          </w:p>
        </w:tc>
      </w:tr>
    </w:tbl>
    <w:p>
      <w:pPr>
        <w:pStyle w:val="Heading1"/>
        <w:spacing w:after="140" w:line="360" w:lineRule="auto"/>
      </w:pPr>
      <w:r>
        <w:rPr>
          <w:rFonts w:ascii="宋体" w:hAnsi="宋体" w:eastAsia="宋体"/>
          <w:sz w:val="28"/>
          <w:szCs w:val="28"/>
          <w:b/>
          <w:color w:val="1F4E79"/>
        </w:rPr>
        <w:t xml:space="preserve">附录 B 参考依据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《非遗AI多语种智能解说传播项目_技术模块分工与认领表(1)》，2026 年 7 月 23 日版本。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《非遗AI多语种智能解说传播项目_T0模块设计与集成技术说明书》，v1.0.0，接口基线冻结于 2026 年 7 月 25 日。</w:t>
      </w:r>
    </w:p>
    <w:p>
      <w:pPr>
        <w:spacing w:after="70" w:line="360" w:lineRule="auto"/>
      </w:pPr>
      <w:r>
        <w:rPr>
          <w:rFonts w:ascii="宋体" w:hAnsi="宋体" w:eastAsia="宋体"/>
          <w:sz w:val="21"/>
          <w:szCs w:val="21"/>
        </w:rPr>
        <w:t xml:space="preserve">• T1 当前实现目录：C:\Users\sunbu\Documents\非遗AI解说\t1。</w:t>
      </w:r>
    </w:p>
    <w:sectPr>
      <w:headerReference w:type="default" r:id="rId3"/>
      <w:footerReference w:type="default" r:id="rId4"/>
      <w:pgSz w:w="11906" w:h="16838"/>
      <w:pgMar w:top="1200" w:right="1200" w:bottom="1200" w:left="120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/>
        <w:sz w:val="15"/>
        <w:szCs w:val="15"/>
        <w:color w:val="7F7F7F"/>
      </w:rPr>
      <w:t xml:space="preserve">T1 MVP｜接口基线 v1.0.0｜2026 年 7 月 26 日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宋体" w:hAnsi="宋体" w:eastAsia="宋体"/>
        <w:sz w:val="16"/>
        <w:szCs w:val="16"/>
        <w:color w:val="7F7F7F"/>
      </w:rPr>
      <w:t xml:space="preserve">非遗 AI 多语种智能解说传播项目｜T1 模块说明书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</w:lvl>
  </w:abstractNum>
  <w:abstractNum w:abstractNumId="1">
    <w:multiLevelType w:val="singleLevel"/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lang w:eastAsia="zh-CN"/>
      </w:rPr>
    </w:rPrDefault>
    <w:pPrDefault>
      <w:pPr>
        <w:spacing w:line="360" w:after="120"/>
      </w:pPr>
    </w:pPrDefault>
  </w:docDefaults>
  <w:style w:type="paragraph" w:default="1" w:styleId="Normal">
    <w:name w:val="Normal"/>
    <w:qFormat/>
    <w:rPr>
      <w:rFonts w:ascii="宋体" w:hAnsi="宋体" w:eastAsia="宋体"/>
      <w:sz w:val="21"/>
    </w:rPr>
  </w:style>
  <w:style w:type="paragraph" w:styleId="Heading1">
    <w:name w:val="heading 1"/>
    <w:basedOn w:val="Normal"/>
    <w:next w:val="Normal"/>
    <w:qFormat/>
    <w:pPr>
      <w:keepNext/>
      <w:spacing w:before="260" w:after="150"/>
      <w:outlineLvl w:val="0"/>
    </w:pPr>
    <w:rPr>
      <w:b/>
      <w:color w:val="1F4E79"/>
      <w:sz w:val="28"/>
    </w:rPr>
  </w:style>
  <w:style w:type="paragraph" w:styleId="Heading2">
    <w:name w:val="heading 2"/>
    <w:basedOn w:val="Normal"/>
    <w:next w:val="Normal"/>
    <w:qFormat/>
    <w:pPr>
      <w:keepNext/>
      <w:spacing w:before="180" w:after="100"/>
      <w:outlineLvl w:val="1"/>
    </w:pPr>
    <w:rPr>
      <w:b/>
      <w:color w:val="2F75B5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T1 模块说明书：资料采集、清洗与元数据服务</dc:title>
  <dc:subject>非遗 AI 多语种智能解说传播项目</dc:subject>
  <dc:creator>项目 A 组</dc:creator>
</cp:coreProperties>
</file>