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EE5A3" w14:textId="4EFCB70A" w:rsidR="003767D4" w:rsidRPr="00C63FE8" w:rsidRDefault="009D10F9" w:rsidP="00935CA1">
      <w:pPr>
        <w:spacing w:before="240" w:after="240" w:line="360" w:lineRule="auto"/>
        <w:rPr>
          <w:rFonts w:eastAsiaTheme="minorEastAsia"/>
          <w:sz w:val="20"/>
          <w:lang w:val="en-GB" w:eastAsia="zh-CN"/>
        </w:rPr>
      </w:pPr>
      <w:r w:rsidRPr="000C7A2F">
        <w:rPr>
          <w:b/>
          <w:bCs/>
          <w:sz w:val="20"/>
          <w:lang w:val="en-GB"/>
        </w:rPr>
        <w:t>Table</w:t>
      </w:r>
      <w:r w:rsidRPr="000C7A2F">
        <w:rPr>
          <w:b/>
          <w:bCs/>
          <w:spacing w:val="-7"/>
          <w:sz w:val="20"/>
          <w:lang w:val="en-GB"/>
        </w:rPr>
        <w:t xml:space="preserve"> </w:t>
      </w:r>
      <w:r w:rsidR="000B6E85" w:rsidRPr="000C7A2F">
        <w:rPr>
          <w:rFonts w:eastAsiaTheme="minorEastAsia"/>
          <w:b/>
          <w:bCs/>
          <w:spacing w:val="-7"/>
          <w:sz w:val="20"/>
          <w:lang w:val="en-GB" w:eastAsia="zh-CN"/>
        </w:rPr>
        <w:t>S</w:t>
      </w:r>
      <w:r w:rsidRPr="000C7A2F">
        <w:rPr>
          <w:b/>
          <w:bCs/>
          <w:sz w:val="20"/>
          <w:lang w:val="en-GB"/>
        </w:rPr>
        <w:t>1</w:t>
      </w:r>
      <w:r w:rsidR="00125A71">
        <w:rPr>
          <w:rFonts w:ascii="宋体" w:eastAsia="宋体" w:hAnsi="宋体" w:cs="宋体" w:hint="eastAsia"/>
          <w:b/>
          <w:bCs/>
          <w:sz w:val="20"/>
          <w:lang w:val="en-GB" w:eastAsia="zh-CN"/>
        </w:rPr>
        <w:t>.</w:t>
      </w:r>
      <w:r w:rsidRPr="000C7A2F">
        <w:rPr>
          <w:b/>
          <w:bCs/>
          <w:spacing w:val="3"/>
          <w:sz w:val="20"/>
          <w:lang w:val="en-GB"/>
        </w:rPr>
        <w:t xml:space="preserve"> </w:t>
      </w:r>
      <w:r w:rsidR="007F4852" w:rsidRPr="000C7A2F">
        <w:rPr>
          <w:rFonts w:eastAsiaTheme="minorEastAsia"/>
          <w:b/>
          <w:bCs/>
          <w:sz w:val="20"/>
          <w:lang w:val="en-GB" w:eastAsia="zh-CN"/>
        </w:rPr>
        <w:t>G</w:t>
      </w:r>
      <w:r w:rsidR="007F4852" w:rsidRPr="000C7A2F">
        <w:rPr>
          <w:b/>
          <w:bCs/>
          <w:sz w:val="20"/>
          <w:lang w:val="en-GB"/>
        </w:rPr>
        <w:t xml:space="preserve">ene markers </w:t>
      </w:r>
      <w:r w:rsidR="007F4852" w:rsidRPr="000C7A2F">
        <w:rPr>
          <w:rFonts w:eastAsiaTheme="minorEastAsia"/>
          <w:b/>
          <w:bCs/>
          <w:sz w:val="20"/>
          <w:lang w:val="en-GB" w:eastAsia="zh-CN"/>
        </w:rPr>
        <w:t xml:space="preserve">for </w:t>
      </w:r>
      <w:r w:rsidR="002D5268" w:rsidRPr="000C7A2F">
        <w:rPr>
          <w:rFonts w:eastAsiaTheme="minorEastAsia"/>
          <w:b/>
          <w:bCs/>
          <w:sz w:val="20"/>
          <w:lang w:val="en-GB" w:eastAsia="zh-CN"/>
        </w:rPr>
        <w:t>cluster annotation.</w:t>
      </w:r>
      <w:r w:rsidR="002D5268" w:rsidRPr="00C63FE8">
        <w:rPr>
          <w:rFonts w:eastAsiaTheme="minorEastAsia"/>
          <w:sz w:val="20"/>
          <w:lang w:val="en-GB" w:eastAsia="zh-CN"/>
        </w:rPr>
        <w:t xml:space="preserve"> </w:t>
      </w:r>
      <w:r w:rsidR="00982CC3" w:rsidRPr="00C63FE8">
        <w:rPr>
          <w:rFonts w:eastAsiaTheme="minorEastAsia"/>
          <w:sz w:val="20"/>
          <w:lang w:val="en-GB" w:eastAsia="zh-CN"/>
        </w:rPr>
        <w:t xml:space="preserve">This list defines each subpopulation of thyroid organoids using </w:t>
      </w:r>
      <w:proofErr w:type="spellStart"/>
      <w:r w:rsidR="00982CC3" w:rsidRPr="00C63FE8">
        <w:rPr>
          <w:rFonts w:eastAsiaTheme="minorEastAsia"/>
          <w:sz w:val="20"/>
          <w:lang w:val="en-GB" w:eastAsia="zh-CN"/>
        </w:rPr>
        <w:t>scTyper</w:t>
      </w:r>
      <w:proofErr w:type="spellEnd"/>
      <w:r w:rsidR="00982CC3" w:rsidRPr="00C63FE8">
        <w:rPr>
          <w:rFonts w:eastAsiaTheme="minorEastAsia"/>
          <w:sz w:val="20"/>
          <w:lang w:val="en-GB" w:eastAsia="zh-CN"/>
        </w:rPr>
        <w:t>.</w:t>
      </w:r>
    </w:p>
    <w:tbl>
      <w:tblPr>
        <w:tblW w:w="484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7938"/>
      </w:tblGrid>
      <w:tr w:rsidR="003767D4" w:rsidRPr="00C63FE8" w14:paraId="49CDE5F6" w14:textId="77777777" w:rsidTr="004A5C19">
        <w:trPr>
          <w:trHeight w:val="300"/>
          <w:tblHeader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vAlign w:val="center"/>
          </w:tcPr>
          <w:p w14:paraId="0D0C5B36" w14:textId="77777777" w:rsidR="003767D4" w:rsidRPr="00C63FE8" w:rsidRDefault="003767D4" w:rsidP="00935CA1">
            <w:pPr>
              <w:pStyle w:val="MNCaption"/>
              <w:spacing w:before="240" w:line="360" w:lineRule="auto"/>
              <w:jc w:val="center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Cs/>
                <w:lang w:val="en-GB"/>
              </w:rPr>
              <w:t>Cell type</w:t>
            </w:r>
          </w:p>
        </w:tc>
        <w:tc>
          <w:tcPr>
            <w:tcW w:w="4375" w:type="pct"/>
            <w:shd w:val="clear" w:color="auto" w:fill="auto"/>
            <w:noWrap/>
            <w:vAlign w:val="center"/>
          </w:tcPr>
          <w:p w14:paraId="2E13D48D" w14:textId="77777777" w:rsidR="003767D4" w:rsidRPr="00C63FE8" w:rsidRDefault="003767D4" w:rsidP="00935CA1">
            <w:pPr>
              <w:pStyle w:val="MNCaption"/>
              <w:spacing w:before="240" w:line="360" w:lineRule="auto"/>
              <w:jc w:val="center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Cs/>
                <w:lang w:val="en-GB"/>
              </w:rPr>
              <w:t>Genes</w:t>
            </w:r>
          </w:p>
        </w:tc>
      </w:tr>
      <w:tr w:rsidR="003767D4" w:rsidRPr="00C63FE8" w14:paraId="5FCAC322" w14:textId="77777777" w:rsidTr="004A5C19">
        <w:trPr>
          <w:trHeight w:val="30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hideMark/>
          </w:tcPr>
          <w:p w14:paraId="7AFBE5CE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lang w:val="en-GB"/>
              </w:rPr>
            </w:pPr>
            <w:r w:rsidRPr="00C63FE8">
              <w:rPr>
                <w:rFonts w:cs="Times New Roman"/>
                <w:lang w:val="en-GB"/>
              </w:rPr>
              <w:t>Immature Thyrocytes</w:t>
            </w:r>
          </w:p>
        </w:tc>
        <w:tc>
          <w:tcPr>
            <w:tcW w:w="4375" w:type="pct"/>
            <w:shd w:val="clear" w:color="auto" w:fill="auto"/>
            <w:noWrap/>
            <w:hideMark/>
          </w:tcPr>
          <w:p w14:paraId="2CAC0F11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 w:val="0"/>
                <w:bCs/>
                <w:lang w:val="en-GB"/>
              </w:rPr>
              <w:t>PAX8, FOXE1, NKX2-1, HHEX, TSHR, TG</w:t>
            </w:r>
          </w:p>
        </w:tc>
      </w:tr>
      <w:tr w:rsidR="003767D4" w:rsidRPr="00C63FE8" w14:paraId="79EF1D78" w14:textId="77777777" w:rsidTr="004A5C19">
        <w:trPr>
          <w:trHeight w:val="30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hideMark/>
          </w:tcPr>
          <w:p w14:paraId="00ACE5E4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lang w:val="en-GB"/>
              </w:rPr>
            </w:pPr>
            <w:r w:rsidRPr="00C63FE8">
              <w:rPr>
                <w:rFonts w:cs="Times New Roman"/>
                <w:lang w:val="en-GB"/>
              </w:rPr>
              <w:t>Mature Thyrocytes</w:t>
            </w:r>
          </w:p>
        </w:tc>
        <w:tc>
          <w:tcPr>
            <w:tcW w:w="4375" w:type="pct"/>
            <w:shd w:val="clear" w:color="auto" w:fill="auto"/>
            <w:noWrap/>
            <w:hideMark/>
          </w:tcPr>
          <w:p w14:paraId="03FC1CF2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 w:val="0"/>
                <w:bCs/>
                <w:lang w:val="en-GB"/>
              </w:rPr>
              <w:t>PAX8, FOXE1, NKX2-1, HHEX, TSHR, TG, TPO</w:t>
            </w:r>
          </w:p>
        </w:tc>
      </w:tr>
      <w:tr w:rsidR="003767D4" w:rsidRPr="00C63FE8" w14:paraId="7AB629F6" w14:textId="77777777" w:rsidTr="004A5C19">
        <w:trPr>
          <w:trHeight w:val="30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hideMark/>
          </w:tcPr>
          <w:p w14:paraId="654A7AB6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lang w:val="en-GB"/>
              </w:rPr>
            </w:pPr>
            <w:r w:rsidRPr="00C63FE8">
              <w:rPr>
                <w:rFonts w:cs="Times New Roman"/>
                <w:lang w:val="en-GB"/>
              </w:rPr>
              <w:t>Thyroid progenitors</w:t>
            </w:r>
          </w:p>
        </w:tc>
        <w:tc>
          <w:tcPr>
            <w:tcW w:w="4375" w:type="pct"/>
            <w:shd w:val="clear" w:color="auto" w:fill="auto"/>
            <w:noWrap/>
            <w:hideMark/>
          </w:tcPr>
          <w:p w14:paraId="75528B47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 w:val="0"/>
                <w:bCs/>
                <w:lang w:val="en-GB"/>
              </w:rPr>
              <w:t>PAX8, FOXE1, NKX2-1, HHEX</w:t>
            </w:r>
          </w:p>
        </w:tc>
      </w:tr>
      <w:tr w:rsidR="003767D4" w:rsidRPr="00C63FE8" w14:paraId="05FC2550" w14:textId="77777777" w:rsidTr="004A5C19">
        <w:trPr>
          <w:trHeight w:val="30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hideMark/>
          </w:tcPr>
          <w:p w14:paraId="3974B648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lang w:val="en-GB"/>
              </w:rPr>
            </w:pPr>
            <w:r w:rsidRPr="00C63FE8">
              <w:rPr>
                <w:rFonts w:cs="Times New Roman"/>
                <w:lang w:val="en-GB"/>
              </w:rPr>
              <w:t>Goblet cells</w:t>
            </w:r>
          </w:p>
        </w:tc>
        <w:tc>
          <w:tcPr>
            <w:tcW w:w="4375" w:type="pct"/>
            <w:shd w:val="clear" w:color="auto" w:fill="auto"/>
            <w:noWrap/>
            <w:hideMark/>
          </w:tcPr>
          <w:p w14:paraId="4D81C1FF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 w:val="0"/>
                <w:bCs/>
                <w:lang w:val="en-GB"/>
              </w:rPr>
              <w:t>AGR2, AQP3, ATOH1, BACE2, CDON, CDX2, CLCA1, CREB3L1, FCGBP, GALNT12, GUCA2A, ITLN1, KLK1, KRT20, KRT7, LRRC26, MANF, MUC13, MUC2, MUC4, MUC5B, NLRP6, PDIA5, PHGR1, PLA2G10, REP15, SLC9A8, SPDEF, SPINK4, TFF3, TPSG1, ZG16</w:t>
            </w:r>
          </w:p>
        </w:tc>
      </w:tr>
      <w:tr w:rsidR="003767D4" w:rsidRPr="00C63FE8" w14:paraId="43B148E2" w14:textId="77777777" w:rsidTr="004A5C19">
        <w:trPr>
          <w:trHeight w:val="30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hideMark/>
          </w:tcPr>
          <w:p w14:paraId="35302117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lang w:val="en-GB"/>
              </w:rPr>
            </w:pPr>
            <w:r w:rsidRPr="00C63FE8">
              <w:rPr>
                <w:rFonts w:cs="Times New Roman"/>
                <w:lang w:val="en-GB"/>
              </w:rPr>
              <w:t>Embryonic stem cells</w:t>
            </w:r>
          </w:p>
        </w:tc>
        <w:tc>
          <w:tcPr>
            <w:tcW w:w="4375" w:type="pct"/>
            <w:shd w:val="clear" w:color="auto" w:fill="auto"/>
            <w:noWrap/>
            <w:hideMark/>
          </w:tcPr>
          <w:p w14:paraId="12723D95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 w:val="0"/>
                <w:bCs/>
                <w:lang w:val="en-GB"/>
              </w:rPr>
              <w:t>ABCG2, ANO6, BCL3, BNIP3, CD24, CD59, CD9, CDH1, CDK8, CTNNB1, DNMT3B, DPPA2, DPPA3, DPPA4, EPCAM, ESRRB, FBXO15, FUT4, FZD1, GAL, GDF3, GJB1, GJB4, GJC1, HES1, HHEX, HMGA2, HOXB5, IL6ST, ITGA4, ITGA6, ITGB1, KCNIP3, KIT, KITLG, KLF4, L1TD1, LEF1, LIFR, LMNA, MYC, NACC1, NANOG, NR6A1, PCGF2, PECAM1, PITX2, PIWIL1, PIWIL2, PIWIL4, PML, PODXL, POU5F1, PRDM5, PROM1, PUM2, SALL4, SLC46A2, SMAD1, SMAD2, SMAD3, SMAD4, SMAD5, SMAD9, SOX15, SOX2, STAT3, SUMO2, TAF8, TDGF1, TEX19, THY1, TRIM28, TRIM6, ZFP42, ZFX, ZIC1</w:t>
            </w:r>
          </w:p>
        </w:tc>
      </w:tr>
      <w:tr w:rsidR="003767D4" w:rsidRPr="00C63FE8" w14:paraId="16F2C854" w14:textId="77777777" w:rsidTr="004A5C19">
        <w:trPr>
          <w:trHeight w:val="30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hideMark/>
          </w:tcPr>
          <w:p w14:paraId="0345D215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lang w:val="en-GB"/>
              </w:rPr>
            </w:pPr>
            <w:r w:rsidRPr="00C63FE8">
              <w:rPr>
                <w:rFonts w:cs="Times New Roman"/>
                <w:lang w:val="en-GB"/>
              </w:rPr>
              <w:t>Airway progenitor cells</w:t>
            </w:r>
          </w:p>
        </w:tc>
        <w:tc>
          <w:tcPr>
            <w:tcW w:w="4375" w:type="pct"/>
            <w:shd w:val="clear" w:color="auto" w:fill="auto"/>
            <w:noWrap/>
            <w:hideMark/>
          </w:tcPr>
          <w:p w14:paraId="28992A26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 w:val="0"/>
                <w:bCs/>
                <w:lang w:val="en-GB"/>
              </w:rPr>
              <w:t>ABI3BP, AQP3, DAPL1, GSTM2, HPGD, ICAM1, KRT14, KRT15, KRT5, PHLDA3, RPS18, SDC1</w:t>
            </w:r>
          </w:p>
        </w:tc>
      </w:tr>
      <w:tr w:rsidR="003767D4" w:rsidRPr="00C63FE8" w14:paraId="08D9E5F0" w14:textId="77777777" w:rsidTr="004A5C19">
        <w:trPr>
          <w:trHeight w:val="30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hideMark/>
          </w:tcPr>
          <w:p w14:paraId="7AFC04CC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lang w:val="en-GB"/>
              </w:rPr>
            </w:pPr>
            <w:r w:rsidRPr="00C63FE8">
              <w:rPr>
                <w:rFonts w:cs="Times New Roman"/>
                <w:lang w:val="en-GB"/>
              </w:rPr>
              <w:t>Epithelial cells</w:t>
            </w:r>
          </w:p>
        </w:tc>
        <w:tc>
          <w:tcPr>
            <w:tcW w:w="4375" w:type="pct"/>
            <w:shd w:val="clear" w:color="auto" w:fill="auto"/>
            <w:noWrap/>
            <w:hideMark/>
          </w:tcPr>
          <w:p w14:paraId="3150EE7C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 w:val="0"/>
                <w:bCs/>
                <w:lang w:val="en-GB"/>
              </w:rPr>
              <w:t xml:space="preserve">CD24, CEACAM1, ST6GAL1, ITGB4, IL1R1, PROM1, CDH1, KRT1, KRT7, MUC1, ICAM1, KRT14, KRT5, ITGAL, CD2, KLK3, ITGA5, ITGA4, ITGA2, KRT3, KRT16, SCNN1A, KRT15, ITGA1, KRT2, SCNN1B, SCNN1D, SCNN1G, IFI16, BOK, NKD1, FZD6, DKK3, NRP2, SFRP5, RAI14, DEFB1, KLK1, AGR2, APOA1, GPA33, ANPEP, CRYBA1, BMI1, BRCA1, MUC16, CEACAM5, CTSE, SCGB1A1, EXO1, FOXA1, GABRP, GGT1, SFN, KRT13, LTF, SLC46A2, KLK10, P2RX7, CDKN2A, TP63, CDH3, PSCA, AGER, ZFP42, SPRR1B, SI, TTR, TM4SF20, TSTD1, SYCN, HBEGF, PIGR, MUC13, SELENBP1, ELF3, TSPAN1, GUCA2A, PHGR1, LYPD8, LGALS4, GATA2, SEC23B, TSPAN8, DLX5, DGAT2, ITPR2, THRSP, PLA2G4A, SLC25A48, PGR, FERMT1, EHF, PLEKHS1, CDKL1, MECOM, MSX1, RNF128, ANLN, CKAP2, HMMR, KIF15, CKAP2L, KIF20B, HIRIP3, INCENP, KIF23, PRC1, ECT2, CXCL10, CXCL8, CCL20, CXCL17, PRG4, ALOX15, F5, EMILIN2, </w:t>
            </w:r>
            <w:r w:rsidRPr="00C63FE8">
              <w:rPr>
                <w:rFonts w:cs="Times New Roman"/>
                <w:b w:val="0"/>
                <w:bCs/>
                <w:lang w:val="en-GB"/>
              </w:rPr>
              <w:lastRenderedPageBreak/>
              <w:t>SPTSSB, FMO5, IVL, VSIG2, AQP3, PAQR5, EPCAM, CLDN1, OCLN, MUC5AC</w:t>
            </w:r>
          </w:p>
        </w:tc>
      </w:tr>
      <w:tr w:rsidR="003767D4" w:rsidRPr="00C63FE8" w14:paraId="36856EE0" w14:textId="77777777" w:rsidTr="004A5C19">
        <w:trPr>
          <w:trHeight w:val="30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hideMark/>
          </w:tcPr>
          <w:p w14:paraId="2A56E854" w14:textId="3493DC4D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lang w:val="en-GB"/>
              </w:rPr>
            </w:pPr>
            <w:proofErr w:type="spellStart"/>
            <w:r w:rsidRPr="00C63FE8">
              <w:rPr>
                <w:rFonts w:cs="Times New Roman"/>
                <w:lang w:val="en-GB"/>
              </w:rPr>
              <w:lastRenderedPageBreak/>
              <w:t>Cardiovas</w:t>
            </w:r>
            <w:r w:rsidR="004A5C19" w:rsidRPr="00C63FE8">
              <w:rPr>
                <w:rFonts w:cs="Times New Roman"/>
                <w:lang w:val="en-GB" w:eastAsia="zh-CN"/>
              </w:rPr>
              <w:t>-</w:t>
            </w:r>
            <w:r w:rsidRPr="00C63FE8">
              <w:rPr>
                <w:rFonts w:cs="Times New Roman"/>
                <w:lang w:val="en-GB"/>
              </w:rPr>
              <w:t>cular</w:t>
            </w:r>
            <w:proofErr w:type="spellEnd"/>
            <w:r w:rsidRPr="00C63FE8">
              <w:rPr>
                <w:rFonts w:cs="Times New Roman"/>
                <w:lang w:val="en-GB"/>
              </w:rPr>
              <w:t xml:space="preserve"> cells</w:t>
            </w:r>
          </w:p>
        </w:tc>
        <w:tc>
          <w:tcPr>
            <w:tcW w:w="4375" w:type="pct"/>
            <w:shd w:val="clear" w:color="auto" w:fill="auto"/>
            <w:noWrap/>
            <w:hideMark/>
          </w:tcPr>
          <w:p w14:paraId="631BA492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 w:val="0"/>
                <w:bCs/>
                <w:lang w:val="en-GB"/>
              </w:rPr>
              <w:t>ACTA2, CNN1, CALD1, DES</w:t>
            </w:r>
          </w:p>
        </w:tc>
      </w:tr>
      <w:tr w:rsidR="003767D4" w:rsidRPr="00C63FE8" w14:paraId="1C245494" w14:textId="77777777" w:rsidTr="004A5C19">
        <w:trPr>
          <w:trHeight w:val="30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hideMark/>
          </w:tcPr>
          <w:p w14:paraId="37FB4830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lang w:val="en-GB"/>
              </w:rPr>
            </w:pPr>
            <w:r w:rsidRPr="00C63FE8">
              <w:rPr>
                <w:rFonts w:cs="Times New Roman"/>
                <w:lang w:val="en-GB"/>
              </w:rPr>
              <w:t>Fibroblasts</w:t>
            </w:r>
          </w:p>
        </w:tc>
        <w:tc>
          <w:tcPr>
            <w:tcW w:w="4375" w:type="pct"/>
            <w:shd w:val="clear" w:color="auto" w:fill="auto"/>
            <w:noWrap/>
            <w:hideMark/>
          </w:tcPr>
          <w:p w14:paraId="3E0D37D9" w14:textId="77777777" w:rsidR="003767D4" w:rsidRPr="00C63FE8" w:rsidRDefault="003767D4" w:rsidP="00935CA1">
            <w:pPr>
              <w:pStyle w:val="MNCaption"/>
              <w:spacing w:before="240" w:line="360" w:lineRule="auto"/>
              <w:rPr>
                <w:rFonts w:cs="Times New Roman"/>
                <w:b w:val="0"/>
                <w:bCs/>
                <w:lang w:val="en-GB"/>
              </w:rPr>
            </w:pPr>
            <w:r w:rsidRPr="00C63FE8">
              <w:rPr>
                <w:rFonts w:cs="Times New Roman"/>
                <w:b w:val="0"/>
                <w:bCs/>
                <w:lang w:val="en-GB"/>
              </w:rPr>
              <w:t>IL1R1, FAP, FLI1, CELA1, LOX, PDGFRB, P4HA1, UCP2, CCR2, ITGAL, FGR, HCK, TNFRSF1B, PRKCD, ENO3, ABI3, TREML4, PIP4K2A, CD300E, SERPINB10, CTHRC1, TBX18, COL15A1, GJB2, IL34, EDN3, SLC6A13, VTN, ITIH5, LUM, DPT, POSTN, PENK, MMP14, COL6A2, FABP4, ASPN, ANGPTL2, EFEMP1, SCARA5, IGFBP3, COPZ2, DPEP1, ADAMTS5, COL5A1, CD248, PI16, PAMR1, TNXB, MMP2, COL14A1, CLEC3B, IGFBP6, COL5A2, FBN1, MFAP5, FKBP10, PALLD, WIF1, SNHG18, CDH11, PTCH1, ARAP1, FBLN2, IGF1, PRRX1, FKBP7, OAF, COL6A3, CTSK, DKK1, C1S, RARRES2, GREM1, SPON2, TCF21, PCSK6, COL8A1, ENTPD2, CXCL8, CXCL3, IL6, CYP1B1, COL13A1, ADAMTS10, CCL11, ADAM33, COL4A3, COL4A4, LAMA2, ACKR3, CD55, FBLN7, FIBIN, THBS2, NOV, PTX3, MMP3, LRRK1, HGF, FRZB, COL12A1, COL7A1, MEOX1, PRG4, PKD2, CCL19, NNMT, FOXF1, HAS1, CTGF, ERCC1, WISP1, TWIST2, RIPK3, DDR2, ELN, FN1, HHIP, FMO2, COL1A2, COL3A1, VIM, FSTL1, GSN, SPARC, S100A4, NT5E, COL1A1, MGP, NOX4, THY1, CD40, SERPINH1, CD44, PDGFRA, EN1, DCN, CEBPB, EGR1, FOSB, FOSL2, HIF1A, KLF2, KLF4, KLF6, KLF9, NFAT5, NFATC1, NFKB1, NR4A1, NR4A2, PBX1, RUNX1, STAT3, TCF4, ZEB2, LAMC1, MEDAG, LAMB1, DKK3, TBX20, MDK, GSTM5, NGF, VEGFA, FGF2, P4HTM, CKAP4, INMT, CXCL14</w:t>
            </w:r>
          </w:p>
        </w:tc>
      </w:tr>
    </w:tbl>
    <w:p w14:paraId="38CD75F3" w14:textId="4A196C72" w:rsidR="003767D4" w:rsidRPr="00C63FE8" w:rsidRDefault="003767D4" w:rsidP="00935CA1">
      <w:pPr>
        <w:pStyle w:val="ab"/>
        <w:spacing w:before="240" w:after="240" w:line="360" w:lineRule="auto"/>
        <w:rPr>
          <w:rFonts w:cs="Times New Roman"/>
          <w:lang w:val="en-GB"/>
        </w:rPr>
      </w:pPr>
    </w:p>
    <w:p w14:paraId="3D32D05B" w14:textId="191A9976" w:rsidR="003767D4" w:rsidRPr="00C63FE8" w:rsidRDefault="003767D4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183AFD64" w14:textId="77777777" w:rsidR="006779F4" w:rsidRDefault="006779F4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5870A2F4" w14:textId="22A84ECC" w:rsidR="00774A13" w:rsidRPr="00C63FE8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>
        <w:rPr>
          <w:noProof/>
          <w:lang w:val="en-GB"/>
        </w:rPr>
        <w:lastRenderedPageBreak/>
        <w:drawing>
          <wp:inline distT="0" distB="0" distL="0" distR="0" wp14:anchorId="2DE3B151" wp14:editId="7DD740ED">
            <wp:extent cx="5810250" cy="4880610"/>
            <wp:effectExtent l="0" t="0" r="0" b="0"/>
            <wp:docPr id="103744708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47082" name="图片 2" descr="图示, 示意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0E2B" w14:textId="42439810" w:rsidR="003767D4" w:rsidRDefault="006B195F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 w:rsidRPr="000C7A2F">
        <w:rPr>
          <w:rFonts w:eastAsiaTheme="minorEastAsia"/>
          <w:b/>
          <w:bCs/>
          <w:lang w:val="en-GB" w:eastAsia="zh-CN"/>
        </w:rPr>
        <w:t xml:space="preserve">Figure S1. </w:t>
      </w:r>
      <w:r w:rsidR="00C63FE8" w:rsidRPr="000C7A2F">
        <w:rPr>
          <w:rFonts w:eastAsiaTheme="minorEastAsia"/>
          <w:b/>
          <w:bCs/>
          <w:lang w:val="en-GB" w:eastAsia="zh-CN"/>
        </w:rPr>
        <w:t>Dot plots</w:t>
      </w:r>
      <w:r w:rsidR="00304D72" w:rsidRPr="000C7A2F">
        <w:rPr>
          <w:rFonts w:eastAsiaTheme="minorEastAsia"/>
          <w:b/>
          <w:bCs/>
          <w:lang w:val="en-GB" w:eastAsia="zh-CN"/>
        </w:rPr>
        <w:t xml:space="preserve"> for </w:t>
      </w:r>
      <w:r w:rsidR="00AA04C0" w:rsidRPr="000C7A2F">
        <w:rPr>
          <w:rFonts w:eastAsiaTheme="minorEastAsia"/>
          <w:b/>
          <w:bCs/>
          <w:lang w:val="en-GB" w:eastAsia="zh-CN"/>
        </w:rPr>
        <w:t xml:space="preserve">fold enrichment </w:t>
      </w:r>
      <w:r w:rsidR="00304D72" w:rsidRPr="000C7A2F">
        <w:rPr>
          <w:rFonts w:eastAsiaTheme="minorEastAsia"/>
          <w:b/>
          <w:bCs/>
          <w:lang w:val="en-GB" w:eastAsia="zh-CN"/>
        </w:rPr>
        <w:t xml:space="preserve">in </w:t>
      </w:r>
      <w:r w:rsidR="00DB0C95" w:rsidRPr="000C7A2F">
        <w:rPr>
          <w:rFonts w:eastAsiaTheme="minorEastAsia"/>
          <w:b/>
          <w:bCs/>
          <w:lang w:val="en-GB" w:eastAsia="zh-CN"/>
        </w:rPr>
        <w:t>cluster “airway progenitor cells”.</w:t>
      </w:r>
      <w:r w:rsidR="00AA04C0" w:rsidRPr="00C63FE8">
        <w:rPr>
          <w:rFonts w:eastAsiaTheme="minorEastAsia"/>
          <w:lang w:val="en-GB" w:eastAsia="zh-CN"/>
        </w:rPr>
        <w:t xml:space="preserve"> The GO enrichment </w:t>
      </w:r>
      <w:r w:rsidR="008F10FE" w:rsidRPr="00C63FE8">
        <w:rPr>
          <w:rFonts w:eastAsiaTheme="minorEastAsia"/>
          <w:lang w:val="en-GB" w:eastAsia="zh-CN"/>
        </w:rPr>
        <w:t>visuali</w:t>
      </w:r>
      <w:r w:rsidR="00C63FE8" w:rsidRPr="00C63FE8">
        <w:rPr>
          <w:rFonts w:eastAsiaTheme="minorEastAsia"/>
          <w:lang w:val="en-GB" w:eastAsia="zh-CN"/>
        </w:rPr>
        <w:t>s</w:t>
      </w:r>
      <w:r w:rsidR="008F10FE" w:rsidRPr="00C63FE8">
        <w:rPr>
          <w:rFonts w:eastAsiaTheme="minorEastAsia"/>
          <w:lang w:val="en-GB" w:eastAsia="zh-CN"/>
        </w:rPr>
        <w:t xml:space="preserve">ation was based on the fold </w:t>
      </w:r>
      <w:r w:rsidR="00E2544B" w:rsidRPr="00C63FE8">
        <w:rPr>
          <w:rFonts w:eastAsiaTheme="minorEastAsia"/>
          <w:lang w:val="en-GB" w:eastAsia="zh-CN"/>
        </w:rPr>
        <w:t>enrichment, calculated as the gene ratio</w:t>
      </w:r>
      <w:r w:rsidR="004210C9" w:rsidRPr="00C63FE8">
        <w:rPr>
          <w:rFonts w:eastAsiaTheme="minorEastAsia"/>
          <w:lang w:val="en-GB" w:eastAsia="zh-CN"/>
        </w:rPr>
        <w:t xml:space="preserve"> (</w:t>
      </w:r>
      <w:r w:rsidR="00BA5C3F" w:rsidRPr="00C63FE8">
        <w:rPr>
          <w:rFonts w:eastAsiaTheme="minorEastAsia"/>
          <w:lang w:val="en-GB" w:eastAsia="zh-CN"/>
        </w:rPr>
        <w:t>the fraction of genes within a specific gene set that are differentially expressed</w:t>
      </w:r>
      <w:r w:rsidR="004210C9" w:rsidRPr="00C63FE8">
        <w:rPr>
          <w:rFonts w:eastAsiaTheme="minorEastAsia"/>
          <w:lang w:val="en-GB" w:eastAsia="zh-CN"/>
        </w:rPr>
        <w:t>)</w:t>
      </w:r>
      <w:r w:rsidR="00E2544B" w:rsidRPr="00C63FE8">
        <w:rPr>
          <w:rFonts w:eastAsiaTheme="minorEastAsia"/>
          <w:lang w:val="en-GB" w:eastAsia="zh-CN"/>
        </w:rPr>
        <w:t xml:space="preserve"> divided by the background ratio</w:t>
      </w:r>
      <w:r w:rsidR="00156B5B" w:rsidRPr="00C63FE8">
        <w:rPr>
          <w:rFonts w:eastAsiaTheme="minorEastAsia"/>
          <w:lang w:val="en-GB" w:eastAsia="zh-CN"/>
        </w:rPr>
        <w:t xml:space="preserve"> (the fraction of differentially expressed genes among all genes examined)</w:t>
      </w:r>
      <w:r w:rsidR="00E2544B" w:rsidRPr="00C63FE8">
        <w:rPr>
          <w:rFonts w:eastAsiaTheme="minorEastAsia"/>
          <w:lang w:val="en-GB" w:eastAsia="zh-CN"/>
        </w:rPr>
        <w:t>.</w:t>
      </w:r>
    </w:p>
    <w:p w14:paraId="216700CD" w14:textId="77777777" w:rsidR="000C7A2F" w:rsidRDefault="000C7A2F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3241E93C" w14:textId="77777777" w:rsidR="000C7A2F" w:rsidRDefault="000C7A2F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21931B21" w14:textId="10458D3D" w:rsidR="000C7A2F" w:rsidRPr="00C63FE8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>
        <w:rPr>
          <w:noProof/>
          <w:lang w:val="en-GB"/>
        </w:rPr>
        <w:lastRenderedPageBreak/>
        <w:drawing>
          <wp:inline distT="0" distB="0" distL="0" distR="0" wp14:anchorId="57480997" wp14:editId="09602688">
            <wp:extent cx="5810250" cy="4880610"/>
            <wp:effectExtent l="0" t="0" r="0" b="0"/>
            <wp:docPr id="1100570987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70987" name="图片 3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8BA5" w14:textId="0B81FD21" w:rsidR="00C63FE8" w:rsidRDefault="00C63FE8" w:rsidP="00935CA1">
      <w:pPr>
        <w:spacing w:before="240" w:after="240" w:line="360" w:lineRule="auto"/>
        <w:rPr>
          <w:rFonts w:eastAsiaTheme="minorEastAsia" w:hint="eastAsia"/>
          <w:lang w:val="en-GB" w:eastAsia="zh-CN"/>
        </w:rPr>
      </w:pPr>
      <w:r w:rsidRPr="000C7A2F">
        <w:rPr>
          <w:rFonts w:eastAsiaTheme="minorEastAsia"/>
          <w:b/>
          <w:bCs/>
          <w:lang w:val="en-GB" w:eastAsia="zh-CN"/>
        </w:rPr>
        <w:t>Figure S</w:t>
      </w:r>
      <w:r w:rsidR="000C7A2F">
        <w:rPr>
          <w:rFonts w:eastAsiaTheme="minorEastAsia" w:hint="eastAsia"/>
          <w:b/>
          <w:bCs/>
          <w:lang w:val="en-GB" w:eastAsia="zh-CN"/>
        </w:rPr>
        <w:t>2</w:t>
      </w:r>
      <w:r w:rsidRPr="000C7A2F">
        <w:rPr>
          <w:rFonts w:eastAsiaTheme="minorEastAsia"/>
          <w:b/>
          <w:bCs/>
          <w:lang w:val="en-GB" w:eastAsia="zh-CN"/>
        </w:rPr>
        <w:t>. Dot plots for gene ratio in cluster “airway progenitor cells”.</w:t>
      </w:r>
      <w:r w:rsidRPr="00C63FE8">
        <w:rPr>
          <w:rFonts w:eastAsiaTheme="minorEastAsia"/>
          <w:lang w:val="en-GB" w:eastAsia="zh-CN"/>
        </w:rPr>
        <w:t xml:space="preserve"> The GO enrichment visualisation was based on the gene ratio</w:t>
      </w:r>
      <w:r>
        <w:rPr>
          <w:rFonts w:eastAsiaTheme="minorEastAsia" w:hint="eastAsia"/>
          <w:lang w:val="en-GB" w:eastAsia="zh-CN"/>
        </w:rPr>
        <w:t xml:space="preserve">, which </w:t>
      </w:r>
      <w:r w:rsidRPr="00C63FE8">
        <w:rPr>
          <w:rFonts w:eastAsiaTheme="minorEastAsia"/>
          <w:lang w:val="en-GB" w:eastAsia="zh-CN"/>
        </w:rPr>
        <w:t>the fraction of genes within a specific gene set that are differentially expressed</w:t>
      </w:r>
      <w:r>
        <w:rPr>
          <w:rFonts w:eastAsiaTheme="minorEastAsia" w:hint="eastAsia"/>
          <w:lang w:val="en-GB" w:eastAsia="zh-CN"/>
        </w:rPr>
        <w:t>.</w:t>
      </w:r>
    </w:p>
    <w:p w14:paraId="020559AF" w14:textId="77777777" w:rsidR="00774A13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6FDF978F" w14:textId="77777777" w:rsidR="00C63FE8" w:rsidRPr="00C63FE8" w:rsidRDefault="00C63FE8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0435054D" w14:textId="77777777" w:rsidR="00F90482" w:rsidRDefault="00F90482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0A656C13" w14:textId="25B30884" w:rsidR="00774A13" w:rsidRPr="00C63FE8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>
        <w:rPr>
          <w:noProof/>
          <w:lang w:val="en-GB"/>
        </w:rPr>
        <w:lastRenderedPageBreak/>
        <w:drawing>
          <wp:inline distT="0" distB="0" distL="0" distR="0" wp14:anchorId="605A843F" wp14:editId="57D73A20">
            <wp:extent cx="5810250" cy="4648200"/>
            <wp:effectExtent l="0" t="0" r="0" b="0"/>
            <wp:docPr id="299460388" name="图片 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60388" name="图片 6" descr="图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0DC6" w14:textId="41790B09" w:rsidR="00F90482" w:rsidRDefault="00F90482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 w:rsidRPr="000C7A2F">
        <w:rPr>
          <w:rFonts w:eastAsiaTheme="minorEastAsia"/>
          <w:b/>
          <w:bCs/>
          <w:lang w:val="en-GB" w:eastAsia="zh-CN"/>
        </w:rPr>
        <w:t>Figure S</w:t>
      </w:r>
      <w:r w:rsidR="004210E4">
        <w:rPr>
          <w:rFonts w:eastAsiaTheme="minorEastAsia" w:hint="eastAsia"/>
          <w:b/>
          <w:bCs/>
          <w:lang w:val="en-GB" w:eastAsia="zh-CN"/>
        </w:rPr>
        <w:t>3</w:t>
      </w:r>
      <w:r w:rsidRPr="000C7A2F">
        <w:rPr>
          <w:rFonts w:eastAsiaTheme="minorEastAsia"/>
          <w:b/>
          <w:bCs/>
          <w:lang w:val="en-GB" w:eastAsia="zh-CN"/>
        </w:rPr>
        <w:t xml:space="preserve">. </w:t>
      </w:r>
      <w:r w:rsidR="00C63FE8" w:rsidRPr="000C7A2F">
        <w:rPr>
          <w:rFonts w:eastAsiaTheme="minorEastAsia"/>
          <w:b/>
          <w:bCs/>
          <w:lang w:val="en-GB" w:eastAsia="zh-CN"/>
        </w:rPr>
        <w:t>Dot plots</w:t>
      </w:r>
      <w:r w:rsidRPr="000C7A2F">
        <w:rPr>
          <w:rFonts w:eastAsiaTheme="minorEastAsia"/>
          <w:b/>
          <w:bCs/>
          <w:lang w:val="en-GB" w:eastAsia="zh-CN"/>
        </w:rPr>
        <w:t xml:space="preserve"> for fold enrichment in cluster “</w:t>
      </w:r>
      <w:r w:rsidR="00C63FE8" w:rsidRPr="000C7A2F">
        <w:rPr>
          <w:rFonts w:eastAsiaTheme="minorEastAsia"/>
          <w:b/>
          <w:bCs/>
          <w:lang w:val="en-GB" w:eastAsia="zh-CN"/>
        </w:rPr>
        <w:t>epithelial</w:t>
      </w:r>
      <w:r w:rsidRPr="000C7A2F">
        <w:rPr>
          <w:rFonts w:eastAsiaTheme="minorEastAsia"/>
          <w:b/>
          <w:bCs/>
          <w:lang w:val="en-GB" w:eastAsia="zh-CN"/>
        </w:rPr>
        <w:t xml:space="preserve"> cells”.</w:t>
      </w:r>
      <w:r w:rsidRPr="00C63FE8">
        <w:rPr>
          <w:rFonts w:eastAsiaTheme="minorEastAsia"/>
          <w:lang w:val="en-GB" w:eastAsia="zh-CN"/>
        </w:rPr>
        <w:t xml:space="preserve"> The GO enrichment visuali</w:t>
      </w:r>
      <w:r w:rsidR="00C63FE8">
        <w:rPr>
          <w:rFonts w:eastAsiaTheme="minorEastAsia" w:hint="eastAsia"/>
          <w:lang w:val="en-GB" w:eastAsia="zh-CN"/>
        </w:rPr>
        <w:t>s</w:t>
      </w:r>
      <w:r w:rsidRPr="00C63FE8">
        <w:rPr>
          <w:rFonts w:eastAsiaTheme="minorEastAsia"/>
          <w:lang w:val="en-GB" w:eastAsia="zh-CN"/>
        </w:rPr>
        <w:t>ation was based on the fold enrichment, calculated as the gene ratio (the fraction of genes within a specific gene set that are differentially expressed) divided by the background ratio (the fraction of differentially expressed genes among all genes examined).</w:t>
      </w:r>
    </w:p>
    <w:p w14:paraId="13EAF1E7" w14:textId="77777777" w:rsidR="00774A13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6A62BB95" w14:textId="77777777" w:rsidR="00774A13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37380F56" w14:textId="69697AE1" w:rsidR="00774A13" w:rsidRPr="00C63FE8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>
        <w:rPr>
          <w:noProof/>
          <w:lang w:val="en-GB"/>
        </w:rPr>
        <w:lastRenderedPageBreak/>
        <w:drawing>
          <wp:inline distT="0" distB="0" distL="0" distR="0" wp14:anchorId="0E9BFA36" wp14:editId="6737EEE8">
            <wp:extent cx="5810250" cy="4648200"/>
            <wp:effectExtent l="0" t="0" r="0" b="0"/>
            <wp:docPr id="202074997" name="图片 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4997" name="图片 7" descr="图表, 散点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E1C1" w14:textId="17451385" w:rsidR="00C63FE8" w:rsidRPr="00C63FE8" w:rsidRDefault="00C63FE8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 w:rsidRPr="000C7A2F">
        <w:rPr>
          <w:rFonts w:eastAsiaTheme="minorEastAsia"/>
          <w:b/>
          <w:bCs/>
          <w:lang w:val="en-GB" w:eastAsia="zh-CN"/>
        </w:rPr>
        <w:t>Figure S</w:t>
      </w:r>
      <w:r w:rsidR="004210E4">
        <w:rPr>
          <w:rFonts w:eastAsiaTheme="minorEastAsia" w:hint="eastAsia"/>
          <w:b/>
          <w:bCs/>
          <w:lang w:val="en-GB" w:eastAsia="zh-CN"/>
        </w:rPr>
        <w:t>4</w:t>
      </w:r>
      <w:r w:rsidRPr="000C7A2F">
        <w:rPr>
          <w:rFonts w:eastAsiaTheme="minorEastAsia"/>
          <w:b/>
          <w:bCs/>
          <w:lang w:val="en-GB" w:eastAsia="zh-CN"/>
        </w:rPr>
        <w:t>. Dot plots for gene ratio in cluster “epithelial cells”.</w:t>
      </w:r>
      <w:r w:rsidRPr="00C63FE8">
        <w:rPr>
          <w:rFonts w:eastAsiaTheme="minorEastAsia"/>
          <w:lang w:val="en-GB" w:eastAsia="zh-CN"/>
        </w:rPr>
        <w:t xml:space="preserve"> </w:t>
      </w:r>
      <w:r w:rsidR="00236B61" w:rsidRPr="00C63FE8">
        <w:rPr>
          <w:rFonts w:eastAsiaTheme="minorEastAsia"/>
          <w:lang w:val="en-GB" w:eastAsia="zh-CN"/>
        </w:rPr>
        <w:t>The GO enrichment visualisation was based on the gene ratio</w:t>
      </w:r>
      <w:r w:rsidR="00236B61">
        <w:rPr>
          <w:rFonts w:eastAsiaTheme="minorEastAsia" w:hint="eastAsia"/>
          <w:lang w:val="en-GB" w:eastAsia="zh-CN"/>
        </w:rPr>
        <w:t xml:space="preserve">, which </w:t>
      </w:r>
      <w:r w:rsidR="00236B61" w:rsidRPr="00C63FE8">
        <w:rPr>
          <w:rFonts w:eastAsiaTheme="minorEastAsia"/>
          <w:lang w:val="en-GB" w:eastAsia="zh-CN"/>
        </w:rPr>
        <w:t>the fraction of genes within a specific gene set that are differentially expressed</w:t>
      </w:r>
      <w:r w:rsidR="00236B61">
        <w:rPr>
          <w:rFonts w:eastAsiaTheme="minorEastAsia" w:hint="eastAsia"/>
          <w:lang w:val="en-GB" w:eastAsia="zh-CN"/>
        </w:rPr>
        <w:t>.</w:t>
      </w:r>
    </w:p>
    <w:p w14:paraId="5B737283" w14:textId="77777777" w:rsidR="00C63FE8" w:rsidRPr="00C63FE8" w:rsidRDefault="00C63FE8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599E0956" w14:textId="77777777" w:rsidR="00F90482" w:rsidRDefault="00F90482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72941A7F" w14:textId="241A5521" w:rsidR="00774A13" w:rsidRPr="00C63FE8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>
        <w:rPr>
          <w:noProof/>
          <w:lang w:val="en-GB"/>
        </w:rPr>
        <w:lastRenderedPageBreak/>
        <w:drawing>
          <wp:inline distT="0" distB="0" distL="0" distR="0" wp14:anchorId="214092E8" wp14:editId="06C1EE7B">
            <wp:extent cx="5810250" cy="4648200"/>
            <wp:effectExtent l="0" t="0" r="0" b="0"/>
            <wp:docPr id="1110952000" name="图片 8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2000" name="图片 8" descr="图表&#10;&#10;低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1C35" w14:textId="55CB1966" w:rsidR="00F90482" w:rsidRDefault="00F90482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 w:rsidRPr="000C7A2F">
        <w:rPr>
          <w:rFonts w:eastAsiaTheme="minorEastAsia"/>
          <w:b/>
          <w:bCs/>
          <w:lang w:val="en-GB" w:eastAsia="zh-CN"/>
        </w:rPr>
        <w:t>Figure S</w:t>
      </w:r>
      <w:r w:rsidR="004210E4">
        <w:rPr>
          <w:rFonts w:eastAsiaTheme="minorEastAsia" w:hint="eastAsia"/>
          <w:b/>
          <w:bCs/>
          <w:lang w:val="en-GB" w:eastAsia="zh-CN"/>
        </w:rPr>
        <w:t>5</w:t>
      </w:r>
      <w:r w:rsidRPr="000C7A2F">
        <w:rPr>
          <w:rFonts w:eastAsiaTheme="minorEastAsia"/>
          <w:b/>
          <w:bCs/>
          <w:lang w:val="en-GB" w:eastAsia="zh-CN"/>
        </w:rPr>
        <w:t xml:space="preserve">. </w:t>
      </w:r>
      <w:r w:rsidR="00C63FE8" w:rsidRPr="000C7A2F">
        <w:rPr>
          <w:rFonts w:eastAsiaTheme="minorEastAsia"/>
          <w:b/>
          <w:bCs/>
          <w:lang w:val="en-GB" w:eastAsia="zh-CN"/>
        </w:rPr>
        <w:t>Dot plots</w:t>
      </w:r>
      <w:r w:rsidRPr="000C7A2F">
        <w:rPr>
          <w:rFonts w:eastAsiaTheme="minorEastAsia"/>
          <w:b/>
          <w:bCs/>
          <w:lang w:val="en-GB" w:eastAsia="zh-CN"/>
        </w:rPr>
        <w:t xml:space="preserve"> for fold enrichment in cluster “</w:t>
      </w:r>
      <w:r w:rsidR="00C63FE8" w:rsidRPr="000C7A2F">
        <w:rPr>
          <w:rFonts w:eastAsiaTheme="minorEastAsia"/>
          <w:b/>
          <w:bCs/>
          <w:lang w:val="en-GB" w:eastAsia="zh-CN"/>
        </w:rPr>
        <w:t>fibroblasts</w:t>
      </w:r>
      <w:r w:rsidRPr="000C7A2F">
        <w:rPr>
          <w:rFonts w:eastAsiaTheme="minorEastAsia"/>
          <w:b/>
          <w:bCs/>
          <w:lang w:val="en-GB" w:eastAsia="zh-CN"/>
        </w:rPr>
        <w:t>”.</w:t>
      </w:r>
      <w:r w:rsidRPr="00C63FE8">
        <w:rPr>
          <w:rFonts w:eastAsiaTheme="minorEastAsia"/>
          <w:lang w:val="en-GB" w:eastAsia="zh-CN"/>
        </w:rPr>
        <w:t xml:space="preserve"> The GO enrichment visuali</w:t>
      </w:r>
      <w:r w:rsidR="00C63FE8">
        <w:rPr>
          <w:rFonts w:eastAsiaTheme="minorEastAsia" w:hint="eastAsia"/>
          <w:lang w:val="en-GB" w:eastAsia="zh-CN"/>
        </w:rPr>
        <w:t>s</w:t>
      </w:r>
      <w:r w:rsidRPr="00C63FE8">
        <w:rPr>
          <w:rFonts w:eastAsiaTheme="minorEastAsia"/>
          <w:lang w:val="en-GB" w:eastAsia="zh-CN"/>
        </w:rPr>
        <w:t>ation was based on the fold enrichment, calculated as the gene ratio (the fraction of genes within a specific gene set that are differentially expressed) divided by the background ratio (the fraction of differentially expressed genes among all genes examined).</w:t>
      </w:r>
    </w:p>
    <w:p w14:paraId="5637DC69" w14:textId="77777777" w:rsidR="00774A13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4A1962C1" w14:textId="77777777" w:rsidR="00774A13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60099B7E" w14:textId="21BA3DF1" w:rsidR="00774A13" w:rsidRPr="00C63FE8" w:rsidRDefault="00774A13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>
        <w:rPr>
          <w:noProof/>
          <w:lang w:val="en-GB"/>
        </w:rPr>
        <w:lastRenderedPageBreak/>
        <w:drawing>
          <wp:inline distT="0" distB="0" distL="0" distR="0" wp14:anchorId="00E7039F" wp14:editId="7E6F66EE">
            <wp:extent cx="5810250" cy="4648200"/>
            <wp:effectExtent l="0" t="0" r="0" b="0"/>
            <wp:docPr id="1367141083" name="图片 9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41083" name="图片 9" descr="图表&#10;&#10;中度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6762" w14:textId="1812CEE0" w:rsidR="00C63FE8" w:rsidRPr="00C63FE8" w:rsidRDefault="00C63FE8" w:rsidP="00935CA1">
      <w:pPr>
        <w:spacing w:before="240" w:after="240" w:line="360" w:lineRule="auto"/>
        <w:rPr>
          <w:rFonts w:eastAsiaTheme="minorEastAsia"/>
          <w:lang w:val="en-GB" w:eastAsia="zh-CN"/>
        </w:rPr>
      </w:pPr>
      <w:r w:rsidRPr="000C7A2F">
        <w:rPr>
          <w:rFonts w:eastAsiaTheme="minorEastAsia"/>
          <w:b/>
          <w:bCs/>
          <w:lang w:val="en-GB" w:eastAsia="zh-CN"/>
        </w:rPr>
        <w:t>Figure S</w:t>
      </w:r>
      <w:r w:rsidR="004210E4">
        <w:rPr>
          <w:rFonts w:eastAsiaTheme="minorEastAsia" w:hint="eastAsia"/>
          <w:b/>
          <w:bCs/>
          <w:lang w:val="en-GB" w:eastAsia="zh-CN"/>
        </w:rPr>
        <w:t>6</w:t>
      </w:r>
      <w:r w:rsidRPr="000C7A2F">
        <w:rPr>
          <w:rFonts w:eastAsiaTheme="minorEastAsia"/>
          <w:b/>
          <w:bCs/>
          <w:lang w:val="en-GB" w:eastAsia="zh-CN"/>
        </w:rPr>
        <w:t xml:space="preserve">. Dot plots for gene ratio in cluster “fibroblasts”. </w:t>
      </w:r>
      <w:r w:rsidR="00236B61" w:rsidRPr="00C63FE8">
        <w:rPr>
          <w:rFonts w:eastAsiaTheme="minorEastAsia"/>
          <w:lang w:val="en-GB" w:eastAsia="zh-CN"/>
        </w:rPr>
        <w:t>The GO enrichment visualisation was based on the gene ratio</w:t>
      </w:r>
      <w:r w:rsidR="00236B61">
        <w:rPr>
          <w:rFonts w:eastAsiaTheme="minorEastAsia" w:hint="eastAsia"/>
          <w:lang w:val="en-GB" w:eastAsia="zh-CN"/>
        </w:rPr>
        <w:t xml:space="preserve">, which </w:t>
      </w:r>
      <w:r w:rsidR="00236B61" w:rsidRPr="00C63FE8">
        <w:rPr>
          <w:rFonts w:eastAsiaTheme="minorEastAsia"/>
          <w:lang w:val="en-GB" w:eastAsia="zh-CN"/>
        </w:rPr>
        <w:t>the fraction of genes within a specific gene set that are differentially expressed</w:t>
      </w:r>
      <w:r w:rsidR="00236B61">
        <w:rPr>
          <w:rFonts w:eastAsiaTheme="minorEastAsia" w:hint="eastAsia"/>
          <w:lang w:val="en-GB" w:eastAsia="zh-CN"/>
        </w:rPr>
        <w:t>.</w:t>
      </w:r>
    </w:p>
    <w:p w14:paraId="7AA06123" w14:textId="77777777" w:rsidR="00C63FE8" w:rsidRPr="00C63FE8" w:rsidRDefault="00C63FE8" w:rsidP="00935CA1">
      <w:pPr>
        <w:spacing w:before="240" w:after="240" w:line="360" w:lineRule="auto"/>
        <w:rPr>
          <w:rFonts w:eastAsiaTheme="minorEastAsia"/>
          <w:lang w:val="en-GB" w:eastAsia="zh-CN"/>
        </w:rPr>
      </w:pPr>
    </w:p>
    <w:p w14:paraId="6569938E" w14:textId="77777777" w:rsidR="00CC37AA" w:rsidRPr="0061538B" w:rsidRDefault="00CC37AA" w:rsidP="0061538B">
      <w:pPr>
        <w:pStyle w:val="MNCaption"/>
        <w:spacing w:before="240" w:line="360" w:lineRule="auto"/>
        <w:rPr>
          <w:rFonts w:cs="Times New Roman"/>
          <w:b w:val="0"/>
          <w:bCs/>
          <w:lang w:val="en-GB" w:eastAsia="zh-CN"/>
        </w:rPr>
      </w:pPr>
    </w:p>
    <w:sectPr w:rsidR="00CC37AA" w:rsidRPr="0061538B">
      <w:footerReference w:type="default" r:id="rId13"/>
      <w:pgSz w:w="11910" w:h="16840"/>
      <w:pgMar w:top="1360" w:right="1180" w:bottom="1000" w:left="1580" w:header="0" w:footer="8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784ED8" w14:textId="77777777" w:rsidR="00A55A09" w:rsidRDefault="00A55A09">
      <w:r>
        <w:separator/>
      </w:r>
    </w:p>
  </w:endnote>
  <w:endnote w:type="continuationSeparator" w:id="0">
    <w:p w14:paraId="093BB672" w14:textId="77777777" w:rsidR="00A55A09" w:rsidRDefault="00A55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6106A1" w14:textId="6AF13FAD" w:rsidR="005B4D72" w:rsidRDefault="009D10F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616106A2" wp14:editId="6F109A02">
              <wp:simplePos x="0" y="0"/>
              <wp:positionH relativeFrom="page">
                <wp:posOffset>3674110</wp:posOffset>
              </wp:positionH>
              <wp:positionV relativeFrom="page">
                <wp:posOffset>10042525</wp:posOffset>
              </wp:positionV>
              <wp:extent cx="215900" cy="178435"/>
              <wp:effectExtent l="0" t="0" r="0" b="0"/>
              <wp:wrapNone/>
              <wp:docPr id="1220022350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6106A3" w14:textId="77777777" w:rsidR="005B4D72" w:rsidRDefault="00000000">
                          <w:pPr>
                            <w:spacing w:before="17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6106A2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289.3pt;margin-top:790.75pt;width:17pt;height:14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n8S1gEAAJADAAAOAAAAZHJzL2Uyb0RvYy54bWysU9tu1DAQfUfiHyy/s0kWCiXabFVaFSGV&#10;glT4AMexNxGJx8x4N1m+nrGz2XJ5Q7xYkxn7zDlnJpuraejFwSB14CpZrHIpjNPQdG5Xya9f7l5c&#10;SkFBuUb14Ewlj4bk1fb5s83oS7OGFvrGoGAQR+XoK9mG4MssI92aQdEKvHFctICDCvyJu6xBNTL6&#10;0GfrPH+djYCNR9CGiLO3c1FuE761RodP1pIJoq8kcwvpxHTW8cy2G1XuUPm20yca6h9YDKpz3PQM&#10;dauCEnvs/oIaOo1AYMNKw5CBtZ02SQOrKfI/1Dy2ypukhc0hf7aJ/h+sfjg8+s8owvQOJh5gEkH+&#10;HvQ3Eg5uWuV25hoRxtaohhsX0bJs9FSenkarqaQIUo8foeEhq32ABDRZHKIrrFMwOg/geDbdTEFo&#10;Tq6Li7c5VzSXijeXr15epA6qXB57pPDewCBiUEnkmSZwdbinEMmocrkSezm46/o+zbV3vyX4Yswk&#10;8pHvzDxM9cS3o4gamiPLQJjXhNeagxbwhxQjr0gl6fteoZGi/+DYirhPS4BLUC+BcpqfVjJIMYc3&#10;Yd67vcdu1zLybLaDa7bLdknKE4sTTx57Unha0bhXv36nW08/0vYnAAAA//8DAFBLAwQUAAYACAAA&#10;ACEA0CFTUeEAAAANAQAADwAAAGRycy9kb3ducmV2LnhtbEyPwU7DMBBE70j8g7VI3KiTSjFpiFNV&#10;CE5IiDQcODqxm1iN1yF22/D3LCd63Jmn2Zlyu7iRnc0crEcJ6SoBZrDz2mIv4bN5fciBhahQq9Gj&#10;kfBjAmyr25tSFdpfsDbnfewZhWAolIQhxqngPHSDcSqs/GSQvIOfnYp0zj3Xs7pQuBv5OkkEd8oi&#10;fRjUZJ4H0x33Jydh94X1i/1+bz/qQ22bZpPgmzhKeX+37J6ARbPEfxj+6lN1qKhT60+oAxslZI+5&#10;IJSMLE8zYISIdE1SS5JINgJ4VfLrFdUvAAAA//8DAFBLAQItABQABgAIAAAAIQC2gziS/gAAAOEB&#10;AAATAAAAAAAAAAAAAAAAAAAAAABbQ29udGVudF9UeXBlc10ueG1sUEsBAi0AFAAGAAgAAAAhADj9&#10;If/WAAAAlAEAAAsAAAAAAAAAAAAAAAAALwEAAF9yZWxzLy5yZWxzUEsBAi0AFAAGAAgAAAAhALfe&#10;fxLWAQAAkAMAAA4AAAAAAAAAAAAAAAAALgIAAGRycy9lMm9Eb2MueG1sUEsBAi0AFAAGAAgAAAAh&#10;ANAhU1HhAAAADQEAAA8AAAAAAAAAAAAAAAAAMAQAAGRycy9kb3ducmV2LnhtbFBLBQYAAAAABAAE&#10;APMAAAA+BQAAAAA=&#10;" filled="f" stroked="f">
              <v:textbox inset="0,0,0,0">
                <w:txbxContent>
                  <w:p w14:paraId="616106A3" w14:textId="77777777" w:rsidR="005B4D72" w:rsidRDefault="00000000">
                    <w:pPr>
                      <w:spacing w:before="17"/>
                      <w:ind w:left="60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11D715" w14:textId="77777777" w:rsidR="00A55A09" w:rsidRDefault="00A55A09">
      <w:r>
        <w:separator/>
      </w:r>
    </w:p>
  </w:footnote>
  <w:footnote w:type="continuationSeparator" w:id="0">
    <w:p w14:paraId="77B0B458" w14:textId="77777777" w:rsidR="00A55A09" w:rsidRDefault="00A55A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227BE2"/>
    <w:multiLevelType w:val="hybridMultilevel"/>
    <w:tmpl w:val="B6742538"/>
    <w:lvl w:ilvl="0" w:tplc="60086B44">
      <w:start w:val="1"/>
      <w:numFmt w:val="decimal"/>
      <w:lvlText w:val="[%1]"/>
      <w:lvlJc w:val="left"/>
      <w:pPr>
        <w:ind w:left="694" w:hanging="47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750CE800">
      <w:start w:val="1"/>
      <w:numFmt w:val="lowerLetter"/>
      <w:lvlText w:val="(%2)"/>
      <w:lvlJc w:val="left"/>
      <w:pPr>
        <w:ind w:left="991" w:hanging="29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2" w:tplc="D4F8F030">
      <w:numFmt w:val="bullet"/>
      <w:lvlText w:val="•"/>
      <w:lvlJc w:val="left"/>
      <w:pPr>
        <w:ind w:left="1905" w:hanging="297"/>
      </w:pPr>
      <w:rPr>
        <w:rFonts w:hint="default"/>
        <w:lang w:val="en-US" w:eastAsia="en-US" w:bidi="ar-SA"/>
      </w:rPr>
    </w:lvl>
    <w:lvl w:ilvl="3" w:tplc="1D94389E">
      <w:numFmt w:val="bullet"/>
      <w:lvlText w:val="•"/>
      <w:lvlJc w:val="left"/>
      <w:pPr>
        <w:ind w:left="2810" w:hanging="297"/>
      </w:pPr>
      <w:rPr>
        <w:rFonts w:hint="default"/>
        <w:lang w:val="en-US" w:eastAsia="en-US" w:bidi="ar-SA"/>
      </w:rPr>
    </w:lvl>
    <w:lvl w:ilvl="4" w:tplc="9264A868">
      <w:numFmt w:val="bullet"/>
      <w:lvlText w:val="•"/>
      <w:lvlJc w:val="left"/>
      <w:pPr>
        <w:ind w:left="3715" w:hanging="297"/>
      </w:pPr>
      <w:rPr>
        <w:rFonts w:hint="default"/>
        <w:lang w:val="en-US" w:eastAsia="en-US" w:bidi="ar-SA"/>
      </w:rPr>
    </w:lvl>
    <w:lvl w:ilvl="5" w:tplc="36C23F5C">
      <w:numFmt w:val="bullet"/>
      <w:lvlText w:val="•"/>
      <w:lvlJc w:val="left"/>
      <w:pPr>
        <w:ind w:left="4620" w:hanging="297"/>
      </w:pPr>
      <w:rPr>
        <w:rFonts w:hint="default"/>
        <w:lang w:val="en-US" w:eastAsia="en-US" w:bidi="ar-SA"/>
      </w:rPr>
    </w:lvl>
    <w:lvl w:ilvl="6" w:tplc="1F6E1DDE">
      <w:numFmt w:val="bullet"/>
      <w:lvlText w:val="•"/>
      <w:lvlJc w:val="left"/>
      <w:pPr>
        <w:ind w:left="5525" w:hanging="297"/>
      </w:pPr>
      <w:rPr>
        <w:rFonts w:hint="default"/>
        <w:lang w:val="en-US" w:eastAsia="en-US" w:bidi="ar-SA"/>
      </w:rPr>
    </w:lvl>
    <w:lvl w:ilvl="7" w:tplc="4D6EC484">
      <w:numFmt w:val="bullet"/>
      <w:lvlText w:val="•"/>
      <w:lvlJc w:val="left"/>
      <w:pPr>
        <w:ind w:left="6430" w:hanging="297"/>
      </w:pPr>
      <w:rPr>
        <w:rFonts w:hint="default"/>
        <w:lang w:val="en-US" w:eastAsia="en-US" w:bidi="ar-SA"/>
      </w:rPr>
    </w:lvl>
    <w:lvl w:ilvl="8" w:tplc="82DCDB44">
      <w:numFmt w:val="bullet"/>
      <w:lvlText w:val="•"/>
      <w:lvlJc w:val="left"/>
      <w:pPr>
        <w:ind w:left="7335" w:hanging="297"/>
      </w:pPr>
      <w:rPr>
        <w:rFonts w:hint="default"/>
        <w:lang w:val="en-US" w:eastAsia="en-US" w:bidi="ar-SA"/>
      </w:rPr>
    </w:lvl>
  </w:abstractNum>
  <w:num w:numId="1" w16cid:durableId="1966739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4D72"/>
    <w:rsid w:val="000603A6"/>
    <w:rsid w:val="00087EF3"/>
    <w:rsid w:val="000B6E85"/>
    <w:rsid w:val="000C7A2F"/>
    <w:rsid w:val="00106B91"/>
    <w:rsid w:val="00125A71"/>
    <w:rsid w:val="00156B5B"/>
    <w:rsid w:val="001E7009"/>
    <w:rsid w:val="0020170C"/>
    <w:rsid w:val="00236B61"/>
    <w:rsid w:val="00255444"/>
    <w:rsid w:val="002D5268"/>
    <w:rsid w:val="00304D72"/>
    <w:rsid w:val="0030621B"/>
    <w:rsid w:val="00373A87"/>
    <w:rsid w:val="003767D4"/>
    <w:rsid w:val="003A6384"/>
    <w:rsid w:val="004210C9"/>
    <w:rsid w:val="004210E4"/>
    <w:rsid w:val="00432D90"/>
    <w:rsid w:val="00497F56"/>
    <w:rsid w:val="004A5C19"/>
    <w:rsid w:val="004B05F8"/>
    <w:rsid w:val="00516B2E"/>
    <w:rsid w:val="005171BF"/>
    <w:rsid w:val="005A18F5"/>
    <w:rsid w:val="005B4D72"/>
    <w:rsid w:val="0061538B"/>
    <w:rsid w:val="00643D27"/>
    <w:rsid w:val="00644BE5"/>
    <w:rsid w:val="00675E31"/>
    <w:rsid w:val="006779F4"/>
    <w:rsid w:val="006A5C4B"/>
    <w:rsid w:val="006B195F"/>
    <w:rsid w:val="006C5240"/>
    <w:rsid w:val="007555A5"/>
    <w:rsid w:val="00774A13"/>
    <w:rsid w:val="007E73A7"/>
    <w:rsid w:val="007F4852"/>
    <w:rsid w:val="00852777"/>
    <w:rsid w:val="0085657C"/>
    <w:rsid w:val="008F10FE"/>
    <w:rsid w:val="009044AE"/>
    <w:rsid w:val="00935CA1"/>
    <w:rsid w:val="00977BDF"/>
    <w:rsid w:val="009807B1"/>
    <w:rsid w:val="00982CC3"/>
    <w:rsid w:val="009C2EAD"/>
    <w:rsid w:val="009D10F9"/>
    <w:rsid w:val="009E0BE9"/>
    <w:rsid w:val="009E75E3"/>
    <w:rsid w:val="009F1B97"/>
    <w:rsid w:val="00A55A09"/>
    <w:rsid w:val="00A91AE7"/>
    <w:rsid w:val="00AA04C0"/>
    <w:rsid w:val="00AC04F2"/>
    <w:rsid w:val="00AE7A92"/>
    <w:rsid w:val="00B3467A"/>
    <w:rsid w:val="00B3475A"/>
    <w:rsid w:val="00BA5C3F"/>
    <w:rsid w:val="00BC2ACD"/>
    <w:rsid w:val="00BC773D"/>
    <w:rsid w:val="00BD79F4"/>
    <w:rsid w:val="00BF0764"/>
    <w:rsid w:val="00C26C29"/>
    <w:rsid w:val="00C63FE8"/>
    <w:rsid w:val="00C85313"/>
    <w:rsid w:val="00CC10A6"/>
    <w:rsid w:val="00CC37AA"/>
    <w:rsid w:val="00CD43F4"/>
    <w:rsid w:val="00D94595"/>
    <w:rsid w:val="00DB0C95"/>
    <w:rsid w:val="00DE33D3"/>
    <w:rsid w:val="00E2544B"/>
    <w:rsid w:val="00E6466E"/>
    <w:rsid w:val="00F539D3"/>
    <w:rsid w:val="00F90482"/>
    <w:rsid w:val="00FB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105AA"/>
  <w15:docId w15:val="{C6EAAE23-3AF7-4C1E-B8C4-8AEDD67F3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9F4"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before="86"/>
      <w:ind w:left="2950" w:right="334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20"/>
      <w:jc w:val="both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</w:style>
  <w:style w:type="paragraph" w:styleId="a5">
    <w:name w:val="Title"/>
    <w:basedOn w:val="a"/>
    <w:uiPriority w:val="10"/>
    <w:qFormat/>
    <w:pPr>
      <w:spacing w:before="118"/>
      <w:ind w:left="121" w:right="519" w:firstLine="12"/>
      <w:jc w:val="center"/>
    </w:pPr>
    <w:rPr>
      <w:b/>
      <w:bCs/>
      <w:sz w:val="49"/>
      <w:szCs w:val="49"/>
    </w:rPr>
  </w:style>
  <w:style w:type="paragraph" w:styleId="a6">
    <w:name w:val="List Paragraph"/>
    <w:basedOn w:val="a"/>
    <w:uiPriority w:val="1"/>
    <w:qFormat/>
    <w:pPr>
      <w:spacing w:before="86"/>
      <w:ind w:left="702" w:right="480" w:hanging="582"/>
      <w:jc w:val="both"/>
    </w:pPr>
  </w:style>
  <w:style w:type="paragraph" w:customStyle="1" w:styleId="TableParagraph">
    <w:name w:val="Table Paragraph"/>
    <w:basedOn w:val="a"/>
    <w:uiPriority w:val="1"/>
    <w:qFormat/>
    <w:pPr>
      <w:spacing w:before="68"/>
      <w:ind w:left="106" w:right="99"/>
      <w:jc w:val="center"/>
    </w:pPr>
  </w:style>
  <w:style w:type="paragraph" w:styleId="a7">
    <w:name w:val="header"/>
    <w:basedOn w:val="a"/>
    <w:link w:val="a8"/>
    <w:uiPriority w:val="99"/>
    <w:unhideWhenUsed/>
    <w:rsid w:val="00BC77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C773D"/>
    <w:rPr>
      <w:rFonts w:ascii="Times New Roman" w:eastAsia="Times New Roman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C773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C773D"/>
    <w:rPr>
      <w:rFonts w:ascii="Times New Roman" w:eastAsia="Times New Roman" w:hAnsi="Times New Roman" w:cs="Times New Roman"/>
      <w:sz w:val="18"/>
      <w:szCs w:val="18"/>
    </w:rPr>
  </w:style>
  <w:style w:type="character" w:customStyle="1" w:styleId="a4">
    <w:name w:val="正文文本 字符"/>
    <w:basedOn w:val="a0"/>
    <w:link w:val="a3"/>
    <w:uiPriority w:val="1"/>
    <w:rsid w:val="009D10F9"/>
    <w:rPr>
      <w:rFonts w:ascii="Times New Roman" w:eastAsia="Times New Roman" w:hAnsi="Times New Roman" w:cs="Times New Roman"/>
    </w:rPr>
  </w:style>
  <w:style w:type="paragraph" w:styleId="ab">
    <w:name w:val="caption"/>
    <w:next w:val="a"/>
    <w:link w:val="ac"/>
    <w:uiPriority w:val="35"/>
    <w:unhideWhenUsed/>
    <w:qFormat/>
    <w:rsid w:val="003767D4"/>
    <w:pPr>
      <w:widowControl/>
      <w:autoSpaceDE/>
      <w:autoSpaceDN/>
      <w:spacing w:line="480" w:lineRule="auto"/>
      <w:jc w:val="both"/>
    </w:pPr>
    <w:rPr>
      <w:rFonts w:ascii="Times New Roman" w:hAnsi="Times New Roman"/>
      <w:b/>
      <w:iCs/>
      <w:kern w:val="2"/>
      <w:sz w:val="18"/>
      <w:szCs w:val="18"/>
      <w14:ligatures w14:val="standardContextual"/>
    </w:rPr>
  </w:style>
  <w:style w:type="paragraph" w:customStyle="1" w:styleId="MNCaption">
    <w:name w:val="MN Caption"/>
    <w:basedOn w:val="ab"/>
    <w:link w:val="MNCaptionChar"/>
    <w:qFormat/>
    <w:rsid w:val="003767D4"/>
    <w:pPr>
      <w:spacing w:after="240" w:line="240" w:lineRule="auto"/>
    </w:pPr>
  </w:style>
  <w:style w:type="character" w:customStyle="1" w:styleId="ac">
    <w:name w:val="题注 字符"/>
    <w:basedOn w:val="a0"/>
    <w:link w:val="ab"/>
    <w:uiPriority w:val="35"/>
    <w:rsid w:val="003767D4"/>
    <w:rPr>
      <w:rFonts w:ascii="Times New Roman" w:hAnsi="Times New Roman"/>
      <w:b/>
      <w:iCs/>
      <w:kern w:val="2"/>
      <w:sz w:val="18"/>
      <w:szCs w:val="18"/>
      <w14:ligatures w14:val="standardContextual"/>
    </w:rPr>
  </w:style>
  <w:style w:type="character" w:customStyle="1" w:styleId="MNCaptionChar">
    <w:name w:val="MN Caption Char"/>
    <w:basedOn w:val="ac"/>
    <w:link w:val="MNCaption"/>
    <w:rsid w:val="003767D4"/>
    <w:rPr>
      <w:rFonts w:ascii="Times New Roman" w:hAnsi="Times New Roman"/>
      <w:b/>
      <w:iCs/>
      <w:kern w:val="2"/>
      <w:sz w:val="18"/>
      <w:szCs w:val="18"/>
      <w14:ligatures w14:val="standardContextual"/>
    </w:rPr>
  </w:style>
  <w:style w:type="table" w:styleId="ad">
    <w:name w:val="Table Grid"/>
    <w:basedOn w:val="a1"/>
    <w:uiPriority w:val="39"/>
    <w:rsid w:val="00373A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nd-iwgdh3b">
    <w:name w:val="gnd-iwgdh3b"/>
    <w:basedOn w:val="a0"/>
    <w:rsid w:val="006C5240"/>
  </w:style>
  <w:style w:type="paragraph" w:styleId="HTML">
    <w:name w:val="HTML Preformatted"/>
    <w:basedOn w:val="a"/>
    <w:link w:val="HTML0"/>
    <w:uiPriority w:val="99"/>
    <w:semiHidden/>
    <w:unhideWhenUsed/>
    <w:rsid w:val="002017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20170C"/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2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756</Words>
  <Characters>4310</Characters>
  <Application>Microsoft Office Word</Application>
  <DocSecurity>0</DocSecurity>
  <Lines>35</Lines>
  <Paragraphs>10</Paragraphs>
  <ScaleCrop>false</ScaleCrop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xiangru</cp:lastModifiedBy>
  <cp:revision>70</cp:revision>
  <dcterms:created xsi:type="dcterms:W3CDTF">2024-05-17T07:05:00Z</dcterms:created>
  <dcterms:modified xsi:type="dcterms:W3CDTF">2024-05-21T01:39:00Z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2024-05-17T00:00:00Z</vt:filetime>
  </property>
</Properties>
</file>