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DB614" w14:textId="77777777" w:rsidR="00923E78" w:rsidRDefault="00180578" w:rsidP="00180578">
      <w:pPr>
        <w:pStyle w:val="Heading1"/>
      </w:pPr>
      <w:r>
        <w:t xml:space="preserve">Meeting note 27/2/2015, Tony, Barry, Jen, Mike, </w:t>
      </w:r>
      <w:proofErr w:type="spellStart"/>
      <w:r>
        <w:t>Baihua</w:t>
      </w:r>
      <w:proofErr w:type="spellEnd"/>
    </w:p>
    <w:p w14:paraId="191ECCB3" w14:textId="77777777" w:rsidR="00180578" w:rsidRDefault="00180578" w:rsidP="00180578"/>
    <w:p w14:paraId="4D9FA1AE" w14:textId="77777777" w:rsidR="00180578" w:rsidRDefault="00180578" w:rsidP="00180578">
      <w:r>
        <w:t>An integrated model for the Namoi scenario paper is near complete. We met to discuss some quest</w:t>
      </w:r>
      <w:r w:rsidR="007E6A46">
        <w:t>ions Mike has, as well as talk</w:t>
      </w:r>
      <w:r>
        <w:t xml:space="preserve"> about the framing of the paper. Here are some main points.</w:t>
      </w:r>
    </w:p>
    <w:p w14:paraId="000A61F6" w14:textId="77777777" w:rsidR="004B6707" w:rsidRDefault="004B6707" w:rsidP="004B6707">
      <w:pPr>
        <w:pStyle w:val="ListParagraph"/>
        <w:numPr>
          <w:ilvl w:val="0"/>
          <w:numId w:val="1"/>
        </w:numPr>
      </w:pPr>
      <w:r>
        <w:t>Paper framing</w:t>
      </w:r>
    </w:p>
    <w:p w14:paraId="295CD45D" w14:textId="77777777" w:rsidR="00BD1DA2" w:rsidRDefault="004B6707" w:rsidP="004B6707">
      <w:pPr>
        <w:pStyle w:val="ListParagraph"/>
      </w:pPr>
      <w:r>
        <w:t xml:space="preserve">Potentially there are two papers for this work. The first is on the integrated model, model evaluation and scenario run. </w:t>
      </w:r>
      <w:r w:rsidR="00BD1DA2">
        <w:t>This paper focuses on</w:t>
      </w:r>
      <w:r>
        <w:t xml:space="preserve"> ‘is model certainty sufficient to discriminate among scenarios’. The second can be more sophisticated uncertainty</w:t>
      </w:r>
      <w:r w:rsidR="00BD1DA2">
        <w:t xml:space="preserve"> assessment for scenarios. This thinking is in line with the discussion Joseph and </w:t>
      </w:r>
      <w:proofErr w:type="spellStart"/>
      <w:r w:rsidR="00BD1DA2">
        <w:t>Baihua</w:t>
      </w:r>
      <w:proofErr w:type="spellEnd"/>
      <w:r w:rsidR="00BD1DA2">
        <w:t xml:space="preserve"> had in December last year. </w:t>
      </w:r>
      <w:proofErr w:type="spellStart"/>
      <w:r w:rsidR="00BD1DA2">
        <w:t>Baihua</w:t>
      </w:r>
      <w:proofErr w:type="spellEnd"/>
      <w:r w:rsidR="00BD1DA2">
        <w:t xml:space="preserve"> will bring this out to discussion in next meeting. </w:t>
      </w:r>
    </w:p>
    <w:p w14:paraId="694BBDE3" w14:textId="77777777" w:rsidR="00BD1DA2" w:rsidRDefault="00BD1DA2" w:rsidP="004B6707">
      <w:pPr>
        <w:pStyle w:val="ListParagraph"/>
      </w:pPr>
    </w:p>
    <w:p w14:paraId="19C0AD98" w14:textId="77777777" w:rsidR="00BD1DA2" w:rsidRDefault="001A6B39" w:rsidP="00BD1DA2">
      <w:pPr>
        <w:pStyle w:val="ListParagraph"/>
      </w:pPr>
      <w:r>
        <w:t>For the first paper</w:t>
      </w:r>
      <w:r w:rsidR="00BD1DA2">
        <w:t xml:space="preserve"> we think that the</w:t>
      </w:r>
      <w:r w:rsidR="00BD1DA2" w:rsidRPr="00BD1DA2">
        <w:t xml:space="preserve"> main purpose of the paper is to investigate the importance of various sources of uncertainty (parameters or model components) in identifying trade-offs </w:t>
      </w:r>
      <w:r w:rsidR="00BD1DA2">
        <w:t xml:space="preserve">(e.g. farm profit, ecological outcomes, hydrological outcomes) </w:t>
      </w:r>
      <w:r w:rsidR="00BD1DA2" w:rsidRPr="00BD1DA2">
        <w:t>among different scenarios</w:t>
      </w:r>
      <w:r w:rsidR="00BD1DA2">
        <w:t xml:space="preserve"> (e.g. different climate, extraction rules, crop price </w:t>
      </w:r>
      <w:proofErr w:type="spellStart"/>
      <w:r w:rsidR="00BD1DA2">
        <w:t>etc</w:t>
      </w:r>
      <w:proofErr w:type="spellEnd"/>
      <w:r w:rsidR="00BD1DA2">
        <w:t>)</w:t>
      </w:r>
      <w:r w:rsidR="00BD1DA2" w:rsidRPr="00BD1DA2">
        <w:t>. A parameter/model component is considered important when within their plausible uncertainty ranges, the trade-off outputs (illustrated in a radar plot) for a scenario are significantly different. This is to say, due to uncertainty we cannot have a consistent</w:t>
      </w:r>
      <w:r w:rsidR="00BD1DA2">
        <w:t xml:space="preserve"> story in the trade-off outputs. The results can be illustrated in the diagram below:</w:t>
      </w:r>
    </w:p>
    <w:p w14:paraId="0FD06AED" w14:textId="77777777" w:rsidR="00BD1DA2" w:rsidRDefault="00BD1DA2" w:rsidP="00BD1DA2">
      <w:pPr>
        <w:pStyle w:val="ListParagraph"/>
      </w:pPr>
    </w:p>
    <w:tbl>
      <w:tblPr>
        <w:tblStyle w:val="TableGrid"/>
        <w:tblW w:w="0" w:type="auto"/>
        <w:tblInd w:w="720" w:type="dxa"/>
        <w:tblLook w:val="04A0" w:firstRow="1" w:lastRow="0" w:firstColumn="1" w:lastColumn="0" w:noHBand="0" w:noVBand="1"/>
      </w:tblPr>
      <w:tblGrid>
        <w:gridCol w:w="1515"/>
        <w:gridCol w:w="6521"/>
      </w:tblGrid>
      <w:tr w:rsidR="00BD1DA2" w14:paraId="38C10CEF" w14:textId="77777777" w:rsidTr="006F4B24">
        <w:tc>
          <w:tcPr>
            <w:tcW w:w="1515" w:type="dxa"/>
          </w:tcPr>
          <w:p w14:paraId="49A2BD3F" w14:textId="77777777" w:rsidR="00BD1DA2" w:rsidRDefault="00BD1DA2" w:rsidP="006F4B24">
            <w:pPr>
              <w:pStyle w:val="ListParagraph"/>
              <w:ind w:left="0"/>
            </w:pPr>
            <w:r>
              <w:t>Parameter</w:t>
            </w:r>
          </w:p>
        </w:tc>
        <w:tc>
          <w:tcPr>
            <w:tcW w:w="6521" w:type="dxa"/>
          </w:tcPr>
          <w:p w14:paraId="0342E7BE" w14:textId="77777777" w:rsidR="00BD1DA2" w:rsidRDefault="00BD1DA2" w:rsidP="006F4B24">
            <w:pPr>
              <w:pStyle w:val="ListParagraph"/>
              <w:ind w:left="0"/>
            </w:pPr>
            <w:r>
              <w:t>Value of parameters (e.g. as it move from low (left) to high (right).</w:t>
            </w:r>
          </w:p>
        </w:tc>
      </w:tr>
      <w:tr w:rsidR="00BD1DA2" w14:paraId="5D38FCCE" w14:textId="77777777" w:rsidTr="006F4B24">
        <w:trPr>
          <w:trHeight w:val="916"/>
        </w:trPr>
        <w:tc>
          <w:tcPr>
            <w:tcW w:w="1515" w:type="dxa"/>
          </w:tcPr>
          <w:p w14:paraId="611A0D68" w14:textId="77777777" w:rsidR="00BD1DA2" w:rsidRDefault="00BD1DA2" w:rsidP="006F4B24">
            <w:pPr>
              <w:pStyle w:val="ListParagraph"/>
              <w:ind w:left="0"/>
            </w:pPr>
            <w:r>
              <w:t>Parameter1</w:t>
            </w:r>
          </w:p>
        </w:tc>
        <w:tc>
          <w:tcPr>
            <w:tcW w:w="6521" w:type="dxa"/>
          </w:tcPr>
          <w:p w14:paraId="3F8144CB" w14:textId="77777777" w:rsidR="00BD1DA2" w:rsidRDefault="00BD1DA2" w:rsidP="006F4B24">
            <w:pPr>
              <w:pStyle w:val="ListParagraph"/>
              <w:ind w:left="0"/>
            </w:pPr>
            <w:r>
              <w:rPr>
                <w:noProof/>
                <w:lang w:val="en-US" w:eastAsia="en-US"/>
              </w:rPr>
              <w:drawing>
                <wp:inline distT="0" distB="0" distL="0" distR="0" wp14:anchorId="3842E616" wp14:editId="7981B9C9">
                  <wp:extent cx="938663" cy="69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rPr>
                <w:noProof/>
                <w:lang w:val="en-US" w:eastAsia="en-US"/>
              </w:rPr>
              <w:drawing>
                <wp:inline distT="0" distB="0" distL="0" distR="0" wp14:anchorId="00C149D0" wp14:editId="1239525C">
                  <wp:extent cx="938663" cy="692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rPr>
                <w:noProof/>
                <w:lang w:val="en-US" w:eastAsia="en-US"/>
              </w:rPr>
              <w:drawing>
                <wp:inline distT="0" distB="0" distL="0" distR="0" wp14:anchorId="3C1943D4" wp14:editId="304BE808">
                  <wp:extent cx="938663" cy="692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rPr>
                <w:noProof/>
                <w:lang w:val="en-US" w:eastAsia="en-US"/>
              </w:rPr>
              <w:drawing>
                <wp:inline distT="0" distB="0" distL="0" distR="0" wp14:anchorId="6B114C20" wp14:editId="11A263EF">
                  <wp:extent cx="938663" cy="692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t>…</w:t>
            </w:r>
          </w:p>
        </w:tc>
      </w:tr>
      <w:tr w:rsidR="00BD1DA2" w14:paraId="77BAC43F" w14:textId="77777777" w:rsidTr="006F4B24">
        <w:tc>
          <w:tcPr>
            <w:tcW w:w="1515" w:type="dxa"/>
          </w:tcPr>
          <w:p w14:paraId="6E475B9A" w14:textId="77777777" w:rsidR="00BD1DA2" w:rsidRDefault="00BD1DA2" w:rsidP="006F4B24">
            <w:pPr>
              <w:pStyle w:val="ListParagraph"/>
              <w:ind w:left="0"/>
            </w:pPr>
            <w:r>
              <w:t>Parameter2</w:t>
            </w:r>
          </w:p>
        </w:tc>
        <w:tc>
          <w:tcPr>
            <w:tcW w:w="6521" w:type="dxa"/>
          </w:tcPr>
          <w:p w14:paraId="42920AF2" w14:textId="77777777" w:rsidR="00BD1DA2" w:rsidRDefault="00BD1DA2" w:rsidP="006F4B24">
            <w:pPr>
              <w:pStyle w:val="ListParagraph"/>
              <w:ind w:left="0"/>
            </w:pPr>
            <w:r>
              <w:rPr>
                <w:noProof/>
                <w:lang w:val="en-US" w:eastAsia="en-US"/>
              </w:rPr>
              <w:drawing>
                <wp:inline distT="0" distB="0" distL="0" distR="0" wp14:anchorId="1DE0887D" wp14:editId="49E0F3E2">
                  <wp:extent cx="938663" cy="692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rPr>
                <w:noProof/>
                <w:lang w:val="en-US" w:eastAsia="en-US"/>
              </w:rPr>
              <w:drawing>
                <wp:inline distT="0" distB="0" distL="0" distR="0" wp14:anchorId="55F90216" wp14:editId="4CD1EFCA">
                  <wp:extent cx="938663" cy="69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8094" cy="692335"/>
                          </a:xfrm>
                          <a:prstGeom prst="rect">
                            <a:avLst/>
                          </a:prstGeom>
                          <a:noFill/>
                        </pic:spPr>
                      </pic:pic>
                    </a:graphicData>
                  </a:graphic>
                </wp:inline>
              </w:drawing>
            </w:r>
            <w:r>
              <w:rPr>
                <w:noProof/>
                <w:lang w:val="en-US" w:eastAsia="en-US"/>
              </w:rPr>
              <w:drawing>
                <wp:inline distT="0" distB="0" distL="0" distR="0" wp14:anchorId="2CE90481" wp14:editId="025EA6D4">
                  <wp:extent cx="937260" cy="691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8193" cy="692409"/>
                          </a:xfrm>
                          <a:prstGeom prst="rect">
                            <a:avLst/>
                          </a:prstGeom>
                          <a:noFill/>
                        </pic:spPr>
                      </pic:pic>
                    </a:graphicData>
                  </a:graphic>
                </wp:inline>
              </w:drawing>
            </w:r>
            <w:r>
              <w:rPr>
                <w:noProof/>
                <w:lang w:val="en-US" w:eastAsia="en-US"/>
              </w:rPr>
              <w:drawing>
                <wp:inline distT="0" distB="0" distL="0" distR="0" wp14:anchorId="0432BDF4" wp14:editId="29ADF031">
                  <wp:extent cx="937260" cy="691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8193" cy="692409"/>
                          </a:xfrm>
                          <a:prstGeom prst="rect">
                            <a:avLst/>
                          </a:prstGeom>
                          <a:noFill/>
                        </pic:spPr>
                      </pic:pic>
                    </a:graphicData>
                  </a:graphic>
                </wp:inline>
              </w:drawing>
            </w:r>
            <w:r>
              <w:t>…</w:t>
            </w:r>
          </w:p>
        </w:tc>
      </w:tr>
      <w:tr w:rsidR="00BD1DA2" w14:paraId="709D4E46" w14:textId="77777777" w:rsidTr="006F4B24">
        <w:tc>
          <w:tcPr>
            <w:tcW w:w="1515" w:type="dxa"/>
          </w:tcPr>
          <w:p w14:paraId="53079906" w14:textId="77777777" w:rsidR="00BD1DA2" w:rsidRDefault="00BD1DA2" w:rsidP="006F4B24">
            <w:pPr>
              <w:pStyle w:val="ListParagraph"/>
              <w:ind w:left="0"/>
            </w:pPr>
            <w:r>
              <w:t>…</w:t>
            </w:r>
          </w:p>
        </w:tc>
        <w:tc>
          <w:tcPr>
            <w:tcW w:w="6521" w:type="dxa"/>
          </w:tcPr>
          <w:p w14:paraId="658669FF" w14:textId="77777777" w:rsidR="00BD1DA2" w:rsidRDefault="00BD1DA2" w:rsidP="006F4B24">
            <w:pPr>
              <w:pStyle w:val="ListParagraph"/>
              <w:ind w:left="0"/>
            </w:pPr>
            <w:r>
              <w:t>…</w:t>
            </w:r>
          </w:p>
        </w:tc>
      </w:tr>
    </w:tbl>
    <w:p w14:paraId="5DD0D02F" w14:textId="77777777" w:rsidR="00BD1DA2" w:rsidRDefault="00BD1DA2" w:rsidP="00BD1DA2">
      <w:r>
        <w:t xml:space="preserve">Note: each polygon (red, blue </w:t>
      </w:r>
      <w:proofErr w:type="spellStart"/>
      <w:r>
        <w:t>etc</w:t>
      </w:r>
      <w:proofErr w:type="spellEnd"/>
      <w:r>
        <w:t>) within the radar plot represents a scenario.</w:t>
      </w:r>
      <w:r w:rsidRPr="00BD1DA2">
        <w:t xml:space="preserve"> </w:t>
      </w:r>
      <w:r>
        <w:t xml:space="preserve">The uncertainty of that parameter is important when the shape of the radar plot changes dramatically when we vary </w:t>
      </w:r>
      <w:proofErr w:type="gramStart"/>
      <w:r>
        <w:t>that</w:t>
      </w:r>
      <w:proofErr w:type="gramEnd"/>
      <w:r>
        <w:t xml:space="preserve"> parameter within its plausible range. In the above diagram parameter 2 is important because the trade-offs under purple scenarios change a lot as this parameter value increases.</w:t>
      </w:r>
    </w:p>
    <w:p w14:paraId="2ECF858C" w14:textId="77777777" w:rsidR="004B6707" w:rsidRDefault="004B6707" w:rsidP="004B6707">
      <w:pPr>
        <w:pStyle w:val="ListParagraph"/>
      </w:pPr>
    </w:p>
    <w:p w14:paraId="6A4329F8" w14:textId="77777777" w:rsidR="007E6A46" w:rsidRDefault="00BD1DA2" w:rsidP="00180578">
      <w:pPr>
        <w:pStyle w:val="ListParagraph"/>
        <w:numPr>
          <w:ilvl w:val="0"/>
          <w:numId w:val="1"/>
        </w:numPr>
      </w:pPr>
      <w:r>
        <w:t xml:space="preserve">Case study: </w:t>
      </w:r>
      <w:proofErr w:type="spellStart"/>
      <w:r>
        <w:t>Maules</w:t>
      </w:r>
      <w:proofErr w:type="spellEnd"/>
      <w:r>
        <w:t xml:space="preserve"> creek or</w:t>
      </w:r>
      <w:r w:rsidR="007E6A46">
        <w:t xml:space="preserve"> hypothetical case</w:t>
      </w:r>
    </w:p>
    <w:p w14:paraId="2DADEE54" w14:textId="77777777" w:rsidR="007E6A46" w:rsidRDefault="00180578" w:rsidP="007E6A46">
      <w:pPr>
        <w:pStyle w:val="ListParagraph"/>
      </w:pPr>
      <w:r>
        <w:t>Water allocation rule</w:t>
      </w:r>
      <w:r w:rsidR="007E6A46">
        <w:t>s</w:t>
      </w:r>
      <w:r>
        <w:t xml:space="preserve"> in </w:t>
      </w:r>
      <w:proofErr w:type="spellStart"/>
      <w:r w:rsidR="007E6A46">
        <w:t>Maules</w:t>
      </w:r>
      <w:proofErr w:type="spellEnd"/>
      <w:r w:rsidR="007E6A46">
        <w:t xml:space="preserve"> Creek is too simplistic, making it as a case study is not very interesting. One way to deal with this is to start with general situation in the lower Namoi (which</w:t>
      </w:r>
      <w:r w:rsidR="00BD1DA2">
        <w:t xml:space="preserve"> is</w:t>
      </w:r>
      <w:r w:rsidR="007E6A46">
        <w:t xml:space="preserve"> in line with the </w:t>
      </w:r>
      <w:proofErr w:type="gramStart"/>
      <w:r w:rsidR="007E6A46">
        <w:t>farmers</w:t>
      </w:r>
      <w:proofErr w:type="gramEnd"/>
      <w:r w:rsidR="007E6A46">
        <w:t xml:space="preserve"> survey) and argue that our analysis shows what will happen through a hypothetical area within the lower Namoi. Another option is to use </w:t>
      </w:r>
      <w:proofErr w:type="spellStart"/>
      <w:r w:rsidR="007E6A46">
        <w:t>Maules</w:t>
      </w:r>
      <w:proofErr w:type="spellEnd"/>
      <w:r w:rsidR="007E6A46">
        <w:t xml:space="preserve"> creek as the case study and th</w:t>
      </w:r>
      <w:r w:rsidR="001A6B39">
        <w:t>en create more complex rules for hypothetical scenarios.</w:t>
      </w:r>
    </w:p>
    <w:p w14:paraId="049CE130" w14:textId="77777777" w:rsidR="007E6A46" w:rsidRDefault="007E6A46" w:rsidP="007E6A46">
      <w:pPr>
        <w:pStyle w:val="ListParagraph"/>
      </w:pPr>
    </w:p>
    <w:p w14:paraId="1177ABA8" w14:textId="77777777" w:rsidR="00180578" w:rsidRDefault="004B6707" w:rsidP="00180578">
      <w:pPr>
        <w:pStyle w:val="ListParagraph"/>
        <w:numPr>
          <w:ilvl w:val="0"/>
          <w:numId w:val="1"/>
        </w:numPr>
      </w:pPr>
      <w:r>
        <w:lastRenderedPageBreak/>
        <w:t xml:space="preserve">Scenarios </w:t>
      </w:r>
      <w:r w:rsidR="00DE05E2">
        <w:t>to explore</w:t>
      </w:r>
    </w:p>
    <w:p w14:paraId="37010EDE" w14:textId="05998524" w:rsidR="00DE05E2" w:rsidRDefault="00DE05E2" w:rsidP="00DE05E2">
      <w:pPr>
        <w:pStyle w:val="ListParagraph"/>
      </w:pPr>
      <w:r>
        <w:t xml:space="preserve">The model will be run over about a 30 year period. The aims of the scenarios is to look </w:t>
      </w:r>
      <w:r w:rsidR="0025455D">
        <w:t xml:space="preserve">into the effects of the following on the economic, hydrological and ecological impacts for the case study catchment. We would like to add a social element to compare the outputs but are not sure just yet what we can do with the data we will be generating. </w:t>
      </w:r>
    </w:p>
    <w:p w14:paraId="3EA43563" w14:textId="77777777" w:rsidR="007B2086" w:rsidRDefault="003779E7" w:rsidP="007B2086">
      <w:pPr>
        <w:pStyle w:val="ListParagraph"/>
        <w:numPr>
          <w:ilvl w:val="0"/>
          <w:numId w:val="8"/>
        </w:numPr>
      </w:pPr>
      <w:r>
        <w:t>Three</w:t>
      </w:r>
      <w:r w:rsidR="00DE05E2">
        <w:t xml:space="preserve"> or more climate scenarios (probably a</w:t>
      </w:r>
      <w:r>
        <w:t xml:space="preserve"> wet/dry/average</w:t>
      </w:r>
      <w:r w:rsidR="00DE05E2">
        <w:t xml:space="preserve"> sequence</w:t>
      </w:r>
      <w:r>
        <w:t xml:space="preserve">), potentially also a ‘historical’ benchmark. </w:t>
      </w:r>
      <w:r w:rsidR="007B2086">
        <w:t>This can be done through varying rainfall and</w:t>
      </w:r>
      <w:r w:rsidR="00DE05E2">
        <w:t xml:space="preserve"> pa</w:t>
      </w:r>
      <w:r w:rsidR="00F435FB">
        <w:t>n evaporation/temperature. Barry has data fo</w:t>
      </w:r>
      <w:r w:rsidR="00DE05E2">
        <w:t>r rainfall scenarios, and possibly pa</w:t>
      </w:r>
      <w:r w:rsidR="00F435FB">
        <w:t>n evaporation</w:t>
      </w:r>
      <w:r w:rsidR="00DE05E2">
        <w:t xml:space="preserve"> or temperature</w:t>
      </w:r>
      <w:r w:rsidR="00F435FB">
        <w:t>.</w:t>
      </w:r>
      <w:bookmarkStart w:id="0" w:name="_GoBack"/>
      <w:bookmarkEnd w:id="0"/>
    </w:p>
    <w:p w14:paraId="3CA0EF88" w14:textId="77777777" w:rsidR="007B2086" w:rsidRDefault="007B2086" w:rsidP="007B2086">
      <w:pPr>
        <w:pStyle w:val="ListParagraph"/>
        <w:numPr>
          <w:ilvl w:val="0"/>
          <w:numId w:val="8"/>
        </w:numPr>
      </w:pPr>
      <w:r>
        <w:t>Water use efficiency</w:t>
      </w:r>
      <w:r w:rsidR="003E2B39">
        <w:t xml:space="preserve"> </w:t>
      </w:r>
      <w:r>
        <w:t>– we can bring Takuya into the conversation.</w:t>
      </w:r>
      <w:r w:rsidR="00DE05E2">
        <w:t xml:space="preserve"> Given that different irrigation options are mentioned below in the ‘investments’ scenario, here the scenarios could include exploring the variation in the efficiency of flood irrigation itself, which is said to vary between 50% and 80% according to Peter Smith the local agronomist.</w:t>
      </w:r>
    </w:p>
    <w:p w14:paraId="051202B6" w14:textId="77777777" w:rsidR="007B2086" w:rsidRDefault="007B2086" w:rsidP="007B2086">
      <w:pPr>
        <w:pStyle w:val="ListParagraph"/>
        <w:numPr>
          <w:ilvl w:val="0"/>
          <w:numId w:val="8"/>
        </w:numPr>
      </w:pPr>
      <w:r>
        <w:t>Cost</w:t>
      </w:r>
      <w:r w:rsidR="003E2B39">
        <w:t>s</w:t>
      </w:r>
      <w:r>
        <w:t xml:space="preserve"> and crop prices</w:t>
      </w:r>
      <w:r w:rsidR="00DE05E2">
        <w:t xml:space="preserve"> – the costs and crop prices will be varied between what are reasonable maximum and minimum values from recent history, and will be set constant for a scenario run (for this paper at least).</w:t>
      </w:r>
    </w:p>
    <w:p w14:paraId="1EFEAC7A" w14:textId="77777777" w:rsidR="007B2086" w:rsidRDefault="007B2086" w:rsidP="007B2086">
      <w:pPr>
        <w:pStyle w:val="ListParagraph"/>
        <w:numPr>
          <w:ilvl w:val="0"/>
          <w:numId w:val="8"/>
        </w:numPr>
      </w:pPr>
      <w:r>
        <w:t>Investments in drip, spray and dam (MAR) etc.</w:t>
      </w:r>
      <w:r w:rsidR="00DE05E2">
        <w:t xml:space="preserve"> Here we can explore the option of the person who does not make any investment into drip, spray irrigation or MAR, the person who waits say 5 or 10 years to make the investment, and the person who makes the change in practice ‘today’ (at the start of the scenario run). Initial costs in making these changes should be included, and can then be compared in combination with the climate scenarios in particular.</w:t>
      </w:r>
    </w:p>
    <w:p w14:paraId="2B2B8C2E" w14:textId="77777777" w:rsidR="007B2086" w:rsidRDefault="007B2086" w:rsidP="007B2086">
      <w:pPr>
        <w:pStyle w:val="ListParagraph"/>
        <w:numPr>
          <w:ilvl w:val="0"/>
          <w:numId w:val="8"/>
        </w:numPr>
      </w:pPr>
      <w:r>
        <w:t>Rules – carry over, allocations, supplementary flow</w:t>
      </w:r>
      <w:r w:rsidR="00DE05E2">
        <w:t xml:space="preserve">. We can explore the effect of varying these rules in a simplistic way, through essentially putting bounds on the amount of water that </w:t>
      </w:r>
      <w:r w:rsidR="00463240">
        <w:t xml:space="preserve">can be extracted in a particular </w:t>
      </w:r>
      <w:commentRangeStart w:id="1"/>
      <w:r w:rsidR="00463240">
        <w:t>scenario</w:t>
      </w:r>
      <w:commentRangeEnd w:id="1"/>
      <w:r w:rsidR="00463240">
        <w:rPr>
          <w:rStyle w:val="CommentReference"/>
        </w:rPr>
        <w:commentReference w:id="1"/>
      </w:r>
      <w:r w:rsidR="00463240">
        <w:t xml:space="preserve">. </w:t>
      </w:r>
    </w:p>
    <w:p w14:paraId="40AD7B9B" w14:textId="77777777" w:rsidR="003E2B39" w:rsidRDefault="00D970BE" w:rsidP="00D970BE">
      <w:r>
        <w:t>We need to know more about what the model is like to be able to better specify scenarios etc.</w:t>
      </w:r>
    </w:p>
    <w:p w14:paraId="5A6BBA4E" w14:textId="77777777" w:rsidR="007B2086" w:rsidRDefault="004B6707" w:rsidP="007B2086">
      <w:pPr>
        <w:pStyle w:val="ListParagraph"/>
        <w:numPr>
          <w:ilvl w:val="0"/>
          <w:numId w:val="1"/>
        </w:numPr>
      </w:pPr>
      <w:r>
        <w:t>Actions</w:t>
      </w:r>
    </w:p>
    <w:p w14:paraId="71D729BC" w14:textId="77777777" w:rsidR="007B2086" w:rsidRDefault="007B2086" w:rsidP="007B2086">
      <w:pPr>
        <w:pStyle w:val="ListParagraph"/>
        <w:numPr>
          <w:ilvl w:val="0"/>
          <w:numId w:val="8"/>
        </w:numPr>
      </w:pPr>
      <w:r>
        <w:t xml:space="preserve">Mike to </w:t>
      </w:r>
      <w:r w:rsidR="009D3689">
        <w:t>finalise</w:t>
      </w:r>
      <w:r>
        <w:t xml:space="preserve"> the integrated model. </w:t>
      </w:r>
    </w:p>
    <w:p w14:paraId="6669049C" w14:textId="77777777" w:rsidR="007B2086" w:rsidRDefault="007B2086" w:rsidP="007B2086">
      <w:pPr>
        <w:pStyle w:val="ListParagraph"/>
        <w:numPr>
          <w:ilvl w:val="0"/>
          <w:numId w:val="8"/>
        </w:numPr>
      </w:pPr>
      <w:r>
        <w:t>Jen to look into the farm survey and identify any information that might be useful for this paper.</w:t>
      </w:r>
    </w:p>
    <w:p w14:paraId="65E2C37D" w14:textId="77777777" w:rsidR="00F435FB" w:rsidRDefault="00F435FB" w:rsidP="007B2086">
      <w:pPr>
        <w:pStyle w:val="ListParagraph"/>
        <w:numPr>
          <w:ilvl w:val="0"/>
          <w:numId w:val="8"/>
        </w:numPr>
      </w:pPr>
      <w:proofErr w:type="spellStart"/>
      <w:r>
        <w:t>Baihua</w:t>
      </w:r>
      <w:proofErr w:type="spellEnd"/>
      <w:r>
        <w:t xml:space="preserve"> to look into the 2100 climate scenario data.</w:t>
      </w:r>
    </w:p>
    <w:p w14:paraId="4772850D" w14:textId="77777777" w:rsidR="00D970BE" w:rsidRDefault="007B2086" w:rsidP="00D970BE">
      <w:pPr>
        <w:pStyle w:val="ListParagraph"/>
        <w:numPr>
          <w:ilvl w:val="0"/>
          <w:numId w:val="8"/>
        </w:numPr>
      </w:pPr>
      <w:r>
        <w:t>Tony to talk to Bryce and Allen on this paper.</w:t>
      </w:r>
    </w:p>
    <w:p w14:paraId="0F671A1E" w14:textId="77777777" w:rsidR="00D970BE" w:rsidRDefault="00D970BE" w:rsidP="00D970BE">
      <w:pPr>
        <w:pStyle w:val="ListParagraph"/>
        <w:ind w:left="1080"/>
      </w:pPr>
    </w:p>
    <w:p w14:paraId="0161B4F0" w14:textId="77777777" w:rsidR="004B6707" w:rsidRPr="00180578" w:rsidRDefault="004B6707" w:rsidP="007B2086"/>
    <w:p w14:paraId="1C670BF8" w14:textId="77777777" w:rsidR="00180578" w:rsidRDefault="00180578"/>
    <w:sectPr w:rsidR="001805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nifer Ticehurst" w:date="2015-02-27T17:33:00Z" w:initials="JT">
    <w:p w14:paraId="661FE5C7" w14:textId="74BA3E17" w:rsidR="00463240" w:rsidRDefault="00463240">
      <w:pPr>
        <w:pStyle w:val="CommentText"/>
      </w:pPr>
      <w:r>
        <w:rPr>
          <w:rStyle w:val="CommentReference"/>
        </w:rPr>
        <w:annotationRef/>
      </w:r>
      <w:r>
        <w:t xml:space="preserve">I </w:t>
      </w:r>
      <w:proofErr w:type="spellStart"/>
      <w:r>
        <w:t>cant</w:t>
      </w:r>
      <w:proofErr w:type="spellEnd"/>
      <w:r>
        <w:t xml:space="preserve"> recall whether these rules were going to vary tempor</w:t>
      </w:r>
      <w:r w:rsidR="0025455D">
        <w:t>ally, my guess is initially no! But I’m happy for someone to suggest otherwise</w:t>
      </w:r>
      <w:proofErr w:type="gramStart"/>
      <w:r w:rsidR="0025455D">
        <w:t>.</w:t>
      </w:r>
      <w:r>
        <w:t>.</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1FE5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10BBE"/>
    <w:multiLevelType w:val="hybridMultilevel"/>
    <w:tmpl w:val="43EAB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FD204AF"/>
    <w:multiLevelType w:val="hybridMultilevel"/>
    <w:tmpl w:val="D25828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3091729A"/>
    <w:multiLevelType w:val="hybridMultilevel"/>
    <w:tmpl w:val="8DFCA0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364B2651"/>
    <w:multiLevelType w:val="hybridMultilevel"/>
    <w:tmpl w:val="613A50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1880FB1"/>
    <w:multiLevelType w:val="hybridMultilevel"/>
    <w:tmpl w:val="612AFB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524574CF"/>
    <w:multiLevelType w:val="hybridMultilevel"/>
    <w:tmpl w:val="FA6E0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83926A8"/>
    <w:multiLevelType w:val="hybridMultilevel"/>
    <w:tmpl w:val="E55C9368"/>
    <w:lvl w:ilvl="0" w:tplc="10BC3C4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73781B02"/>
    <w:multiLevelType w:val="hybridMultilevel"/>
    <w:tmpl w:val="93CA19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D701618"/>
    <w:multiLevelType w:val="hybridMultilevel"/>
    <w:tmpl w:val="0AE44CAA"/>
    <w:lvl w:ilvl="0" w:tplc="07405F5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3"/>
  </w:num>
  <w:num w:numId="4">
    <w:abstractNumId w:val="6"/>
  </w:num>
  <w:num w:numId="5">
    <w:abstractNumId w:val="2"/>
  </w:num>
  <w:num w:numId="6">
    <w:abstractNumId w:val="1"/>
  </w:num>
  <w:num w:numId="7">
    <w:abstractNumId w:val="0"/>
  </w:num>
  <w:num w:numId="8">
    <w:abstractNumId w:val="4"/>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ifer Ticehurst">
    <w15:presenceInfo w15:providerId="AD" w15:userId="S-1-5-21-1409082233-1383384898-1343024091-1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0E7"/>
    <w:rsid w:val="000370E7"/>
    <w:rsid w:val="00180578"/>
    <w:rsid w:val="001A6B39"/>
    <w:rsid w:val="0025455D"/>
    <w:rsid w:val="003779E7"/>
    <w:rsid w:val="003E2B39"/>
    <w:rsid w:val="00463240"/>
    <w:rsid w:val="004B6707"/>
    <w:rsid w:val="004E2BA1"/>
    <w:rsid w:val="007B2086"/>
    <w:rsid w:val="007E6A46"/>
    <w:rsid w:val="00923E78"/>
    <w:rsid w:val="009D3689"/>
    <w:rsid w:val="00AE0BAA"/>
    <w:rsid w:val="00B34EC2"/>
    <w:rsid w:val="00BD1DA2"/>
    <w:rsid w:val="00D970BE"/>
    <w:rsid w:val="00DE05E2"/>
    <w:rsid w:val="00F435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A490"/>
  <w15:docId w15:val="{9EB1FFE8-DC0D-46C2-A4A4-4A54D5D8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0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5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0578"/>
    <w:pPr>
      <w:ind w:left="720"/>
      <w:contextualSpacing/>
    </w:pPr>
  </w:style>
  <w:style w:type="table" w:styleId="TableGrid">
    <w:name w:val="Table Grid"/>
    <w:basedOn w:val="TableNormal"/>
    <w:uiPriority w:val="59"/>
    <w:rsid w:val="00BD1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1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DA2"/>
    <w:rPr>
      <w:rFonts w:ascii="Tahoma" w:hAnsi="Tahoma" w:cs="Tahoma"/>
      <w:sz w:val="16"/>
      <w:szCs w:val="16"/>
    </w:rPr>
  </w:style>
  <w:style w:type="character" w:styleId="CommentReference">
    <w:name w:val="annotation reference"/>
    <w:basedOn w:val="DefaultParagraphFont"/>
    <w:uiPriority w:val="99"/>
    <w:semiHidden/>
    <w:unhideWhenUsed/>
    <w:rsid w:val="00463240"/>
    <w:rPr>
      <w:sz w:val="16"/>
      <w:szCs w:val="16"/>
    </w:rPr>
  </w:style>
  <w:style w:type="paragraph" w:styleId="CommentText">
    <w:name w:val="annotation text"/>
    <w:basedOn w:val="Normal"/>
    <w:link w:val="CommentTextChar"/>
    <w:uiPriority w:val="99"/>
    <w:semiHidden/>
    <w:unhideWhenUsed/>
    <w:rsid w:val="00463240"/>
    <w:pPr>
      <w:spacing w:line="240" w:lineRule="auto"/>
    </w:pPr>
    <w:rPr>
      <w:sz w:val="20"/>
      <w:szCs w:val="20"/>
    </w:rPr>
  </w:style>
  <w:style w:type="character" w:customStyle="1" w:styleId="CommentTextChar">
    <w:name w:val="Comment Text Char"/>
    <w:basedOn w:val="DefaultParagraphFont"/>
    <w:link w:val="CommentText"/>
    <w:uiPriority w:val="99"/>
    <w:semiHidden/>
    <w:rsid w:val="00463240"/>
    <w:rPr>
      <w:sz w:val="20"/>
      <w:szCs w:val="20"/>
    </w:rPr>
  </w:style>
  <w:style w:type="paragraph" w:styleId="CommentSubject">
    <w:name w:val="annotation subject"/>
    <w:basedOn w:val="CommentText"/>
    <w:next w:val="CommentText"/>
    <w:link w:val="CommentSubjectChar"/>
    <w:uiPriority w:val="99"/>
    <w:semiHidden/>
    <w:unhideWhenUsed/>
    <w:rsid w:val="00463240"/>
    <w:rPr>
      <w:b/>
      <w:bCs/>
    </w:rPr>
  </w:style>
  <w:style w:type="character" w:customStyle="1" w:styleId="CommentSubjectChar">
    <w:name w:val="Comment Subject Char"/>
    <w:basedOn w:val="CommentTextChar"/>
    <w:link w:val="CommentSubject"/>
    <w:uiPriority w:val="99"/>
    <w:semiHidden/>
    <w:rsid w:val="004632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D117B060.dotm</Template>
  <TotalTime>16</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Fenner School</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Baihua Fu</dc:creator>
  <cp:keywords/>
  <dc:description/>
  <cp:lastModifiedBy>Jenifer Ticehurst</cp:lastModifiedBy>
  <cp:revision>4</cp:revision>
  <dcterms:created xsi:type="dcterms:W3CDTF">2015-02-27T06:21:00Z</dcterms:created>
  <dcterms:modified xsi:type="dcterms:W3CDTF">2015-02-27T06:36:00Z</dcterms:modified>
</cp:coreProperties>
</file>