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78A9A"/>
          <w:sz w:val="24"/>
        </w:rPr>
        <w:t>GLOBAL CITY INDEX</w:t>
      </w:r>
    </w:p>
    <w:p>
      <w:pPr>
        <w:pStyle w:val="Title"/>
        <w:jc w:val="center"/>
      </w:pPr>
      <w:r>
        <w:t>蓝绿空间与 NDVI</w:t>
        <w:br/>
        <w:t>指标方法说明</w:t>
      </w:r>
    </w:p>
    <w:p>
      <w:pPr>
        <w:pStyle w:val="Subtitle"/>
        <w:jc w:val="center"/>
      </w:pPr>
      <w:r>
        <w:t>Blue–Green Space and NDVI Indicator Methodology</w:t>
      </w:r>
    </w:p>
    <w:tbl>
      <w:tblPr>
        <w:tblW w:type="dxa" w:w="43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</w:tblGrid>
      <w:tr>
        <w:trPr>
          <w:trHeight w:val="72" w:hRule="exact"/>
        </w:trPr>
        <w:tc>
          <w:tcPr>
            <w:tcW w:type="dxa" w:w="4320"/>
            <w:shd w:fill="178A9A"/>
          </w:tcPr>
          <w:p>
            <w:r/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8"/>
              </w:rPr>
              <w:t>方法版本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GCI-METHOD-BGNDVI-v1.1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8"/>
              </w:rPr>
              <w:t>指标库版本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GCI-IND-v2.3-GEE-B05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8"/>
              </w:rPr>
              <w:t>城市边界版本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GC100-20260827-V1.0.1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8"/>
              </w:rPr>
              <w:t>统计对象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2,311 个全球城市；物理边界主库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8"/>
              </w:rPr>
              <w:t>发布日期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2026-08-27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本版核心结论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只要数据可获得、口径明确并通过质量控制，面积、覆盖率、NDVI、变化量与人口加权 NDVI 均作为正式指标入库。原始统计尽量完整；指数筛选、方向与权重在后续版本中单独决定。</w:t>
            </w:r>
          </w:p>
        </w:tc>
      </w:tr>
    </w:tbl>
    <w:p>
      <w:pPr>
        <w:spacing w:after="0"/>
      </w:pPr>
    </w:p>
    <w:p>
      <w:pPr>
        <w:pStyle w:val="SmallMetadata"/>
        <w:spacing w:before="520"/>
        <w:jc w:val="center"/>
      </w:pPr>
      <w:r>
        <w:t>Research methods reference · Physical/Admin dual-boundary ready</w:t>
      </w:r>
    </w:p>
    <w:p>
      <w:r>
        <w:br w:type="page"/>
      </w:r>
    </w:p>
    <w:p>
      <w:pPr>
        <w:pStyle w:val="Heading1"/>
      </w:pPr>
      <w:r>
        <w:t>文档使用说明</w:t>
      </w:r>
    </w:p>
    <w:p>
      <w:r>
        <w:t>本文档是 Global City Index 指标库 v2.3 的配套方法依据，锁定蓝绿空间、NDVI 与人口暴露指标的统计对象、数据源、年份、公式、边界与质量控制。若 Excel 指标库与本文档发生冲突，以两者共同标注的版本号为准；任何口径变更必须同时更新两份文件。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2376"/>
        <w:gridCol w:w="6984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1 口径总则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快速判断一个变量应归入面积、覆盖率、绿度还是暴露。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2 边界与统计单元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保证物理边界与行政边界不混算。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3 数据源与年份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锁定全球数据产品、分辨率与年份。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4 指标定义与公式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供 GEE 编程、结果复算和论文方法部分引用。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5 输出字段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供数据库建表和网站字段映射。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6 质量控制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供任务验收、异常识别与缺失值处理。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7 版本与年度更新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避免把来源年份误写为指标发布年份。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8 当前 GEE 状态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记录本次物理边界批次的可追溯任务标识。</w:t>
            </w:r>
          </w:p>
        </w:tc>
      </w:tr>
    </w:tbl>
    <w:p>
      <w:pPr>
        <w:spacing w:after="0"/>
      </w:pPr>
    </w:p>
    <w:p>
      <w:pPr>
        <w:pStyle w:val="Heading1"/>
      </w:pPr>
      <w:r>
        <w:t>1 口径总则</w:t>
      </w:r>
    </w:p>
    <w:p>
      <w:pPr>
        <w:pStyle w:val="Heading2"/>
      </w:pPr>
      <w:r>
        <w:t>1.1 三类问题必须分开回答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2232"/>
        <w:gridCol w:w="1800"/>
        <w:gridCol w:w="3960"/>
        <w:gridCol w:w="1368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统计问题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主变量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解释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是否可互换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城市有多少蓝绿空间？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面积（km²）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对分类像元面积求和，反映绝对规模。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蓝绿空间占城市多少？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覆盖率（%）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面积除以统一分母，反映相对规模。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城市植被有多绿？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NDVI 均值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反映植被光谱活力与绿度，不等同于绿地面积。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居民接触到怎样的绿度？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人口加权 NDVI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按人口空间分布加权的暴露指标。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否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全量统计原则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以上变量全部作为正式指标计算和入库，但不得在原始数据层直接相加、平均或择一替代。是否进入最终综合指数、正负方向和权重必须在统计完成后另行论证并版本化。</w:t>
            </w:r>
          </w:p>
        </w:tc>
      </w:tr>
    </w:tbl>
    <w:p>
      <w:pPr>
        <w:spacing w:after="0"/>
      </w:pPr>
    </w:p>
    <w:p>
      <w:pPr>
        <w:pStyle w:val="Heading2"/>
      </w:pPr>
      <w:r>
        <w:t>1.2 正式指标全量入库</w:t>
      </w:r>
    </w:p>
    <w:p>
      <w:pPr>
        <w:pStyle w:val="ListBullet"/>
        <w:keepLines/>
        <w:spacing w:after="60"/>
      </w:pPr>
      <w:r>
        <w:t>绝对规模：GREEN_AREA_KM2_2021、BLUE_SPACE_PERMANENT_WATER_KM2_2021，以及树木、灌木、草地面积分项。</w:t>
      </w:r>
    </w:p>
    <w:p>
      <w:pPr>
        <w:pStyle w:val="ListBullet"/>
        <w:keepLines/>
        <w:spacing w:after="60"/>
      </w:pPr>
      <w:r>
        <w:t>相对规模：绿地、树木、灌木、草地和永久水体覆盖率。</w:t>
      </w:r>
    </w:p>
    <w:p>
      <w:pPr>
        <w:pStyle w:val="ListBullet"/>
        <w:keepLines/>
        <w:spacing w:after="60"/>
      </w:pPr>
      <w:r>
        <w:t>绿度与变化：MEAN_NDVI_2020、MEAN_NDVI_2025 与 NDVI_CHANGE_2020_2025。</w:t>
      </w:r>
    </w:p>
    <w:p>
      <w:pPr>
        <w:pStyle w:val="ListBullet"/>
        <w:keepLines/>
        <w:spacing w:after="60"/>
      </w:pPr>
      <w:r>
        <w:t>人口暴露：POP_WEIGHTED_NDVI_2020。</w:t>
      </w:r>
    </w:p>
    <w:p>
      <w:pPr>
        <w:pStyle w:val="ListBullet"/>
        <w:keepLines/>
        <w:spacing w:after="60"/>
      </w:pPr>
      <w:r>
        <w:t>以上均标记为“正式指标”；如数据缺失则保留缺失状态和原因，不因缺失而删除指标定义。</w:t>
      </w:r>
    </w:p>
    <w:p>
      <w:pPr>
        <w:pStyle w:val="Heading1"/>
      </w:pPr>
      <w:r>
        <w:t>2 边界与统计单元</w:t>
      </w:r>
    </w:p>
    <w:p>
      <w:pPr>
        <w:pStyle w:val="Heading2"/>
      </w:pPr>
      <w:r>
        <w:t>2.1 当前主库</w:t>
      </w:r>
    </w:p>
    <w:p>
      <w:r>
        <w:t>本次生产使用 GC100-20260827-V1.0.1 物理城市边界，共 2,311 个唯一 CITY_ID。所有栅格统计均在完整物理边界多边形上完成；输出表即使仅保留城市质心，也不得据此误解为点缓冲统计。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1512"/>
        <w:gridCol w:w="2520"/>
        <w:gridCol w:w="1944"/>
        <w:gridCol w:w="3384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边界代码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统计对象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结果后缀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PHYSICAL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最终物理城市空间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*_PHY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直接在物理边界内统计。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ADMIN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与城市匹配的行政边界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*_ADM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按城市行政统计单元聚合。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DUAL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同一指标的两套结果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*_PHY 与 *_ADM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同源、同年、同算法分别运行两次，结果独立保存。</w:t>
            </w:r>
          </w:p>
        </w:tc>
      </w:tr>
    </w:tbl>
    <w:p>
      <w:pPr>
        <w:spacing w:after="0"/>
      </w:pPr>
    </w:p>
    <w:p>
      <w:pPr>
        <w:pStyle w:val="Heading2"/>
      </w:pPr>
      <w:r>
        <w:t>2.2 小碎片与边界一致性</w:t>
      </w:r>
    </w:p>
    <w:p>
      <w:r>
        <w:t>边界清理已经在城市主库阶段完成。被行政裁剪后形成、面积小于 10 km²、缺乏独立城市身份且影响力有限的边角碎片不单列为城市；仍属于目标城市连续建成区的部分应并回其唯一城市。指标统计阶段不再自行修改城市边界，以免不同批次出现口径漂移。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双边界原则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物理值与行政值是两个平行观测结果。除非指标定义另有明确公式，不得把两者求和、平均或选较大值形成“混合城市值”。</w:t>
            </w:r>
          </w:p>
        </w:tc>
      </w:tr>
    </w:tbl>
    <w:p>
      <w:pPr>
        <w:spacing w:after="0"/>
      </w:pPr>
    </w:p>
    <w:p>
      <w:pPr>
        <w:pStyle w:val="Heading1"/>
      </w:pPr>
      <w:r>
        <w:t>3 数据源与年份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1440"/>
        <w:gridCol w:w="3240"/>
        <w:gridCol w:w="1080"/>
        <w:gridCol w:w="1224"/>
        <w:gridCol w:w="2376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数据产品 / GEE ID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年份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名义分辨率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锁定说明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地表覆盖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ESA WorldCover v200</w:t>
              <w:br/>
              <w:t>ESA/WorldCover/v200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2021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10 m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绿地类别 10/20/30；农田 40 不计入。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永久水体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JRC Global Surface Water v1.4</w:t>
              <w:br/>
              <w:t>JRC/GSW1_4/YearlyHistory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2021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30 m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waterClass = 3。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植被绿度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MODIS MOD13Q1 v061</w:t>
              <w:br/>
              <w:t>MODIS/061/MOD13Q1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2020、2025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250 m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16 日合成；SummaryQA ≤ 1；比例因子 0.0001。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人口暴露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GHSL POP P2023A</w:t>
              <w:br/>
              <w:t>JRC/GHSL/P2023A/GHS_POP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2020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100 m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与 2020 年 NDVI 同年加权。</w:t>
            </w:r>
          </w:p>
        </w:tc>
      </w:tr>
    </w:tbl>
    <w:p>
      <w:pPr>
        <w:spacing w:after="0"/>
      </w:pPr>
    </w:p>
    <w:p>
      <w:pPr>
        <w:pStyle w:val="Heading2"/>
      </w:pPr>
      <w:r>
        <w:t>3.1 年份解释</w:t>
      </w:r>
    </w:p>
    <w:p>
      <w:r>
        <w:t>2026-08-27 是指标库与方法文件的发布日，不是所有指标的数据年份。蓝绿空间使用 2021 年全球一致产品；NDVI 使用 2020 与 2025 两个完整自然年；人口暴露使用 2020 年人口与 2020 年 NDVI。年份必须保留在字段名和元数据中。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跨期比较条件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NDVI 变化必须使用同一边界版本、同一 MODIS 产品、同一 QA 规则、同一水体掩膜与同一聚合算法；否则差值可能反映方法变化而非城市变化。</w:t>
            </w:r>
          </w:p>
        </w:tc>
      </w:tr>
    </w:tbl>
    <w:p>
      <w:pPr>
        <w:spacing w:after="0"/>
      </w:pPr>
    </w:p>
    <w:p>
      <w:pPr>
        <w:pStyle w:val="Heading1"/>
      </w:pPr>
      <w:r>
        <w:t>4 指标定义与公式</w:t>
      </w:r>
    </w:p>
    <w:p>
      <w:pPr>
        <w:pStyle w:val="Heading2"/>
      </w:pPr>
      <w:r>
        <w:t>4.1 蓝绿空间面积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1512"/>
        <w:gridCol w:w="2520"/>
        <w:gridCol w:w="2232"/>
        <w:gridCol w:w="3096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像元判定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公式 / 单位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统计含义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绿地面积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WorldCover ∈ {10,20,30}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Σ pixelArea / 10⁶；km²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树木、灌木与草地总面积；农田不计入。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树木面积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WorldCover = 10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Σ pixelArea / 10⁶；km²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树木覆盖分项。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灌木面积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WorldCover = 20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Σ pixelArea / 10⁶；km²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灌木地分项。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草地面积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WorldCover = 30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Σ pixelArea / 10⁶；km²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草地分项。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永久水体面积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waterClass = 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Σ pixelArea / 10⁶；km²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年度永久水面面积。</w:t>
            </w:r>
          </w:p>
        </w:tc>
      </w:tr>
    </w:tbl>
    <w:p>
      <w:pPr>
        <w:spacing w:after="0"/>
      </w:pPr>
    </w:p>
    <w:p>
      <w:r>
        <w:t>陆地面积（LAND_AREA_KM2_2021）= 城市边界面积 − 永久水体面积。绿地、树木、灌木与草地覆盖率的统一分母为陆地面积；永久水体覆盖率的分母为城市边界总面积。面积与百分比均作为正式指标入库，分别描述绝对规模和相对规模。</w:t>
      </w:r>
    </w:p>
    <w:p>
      <w:pPr>
        <w:pStyle w:val="Heading2"/>
      </w:pPr>
      <w:r>
        <w:t>4.2 年均 NDVI</w:t>
      </w:r>
    </w:p>
    <w:p>
      <w:r>
        <w:t>对目标自然年内 MOD13Q1 的 16 日合成影像执行 SummaryQA ≤ 1 的质量筛选，并乘以 0.0001 比例因子。先按像元计算年度均值，再排除 2021 年永久水体像元，最后在城市边界内按有效像元面积加权：</w:t>
      </w:r>
    </w:p>
    <w:p>
      <w:pPr>
        <w:jc w:val="center"/>
      </w:pPr>
      <w:r>
        <w:rPr>
          <w:rFonts w:ascii="Cambria Math" w:hAnsi="Cambria Math"/>
          <w:b/>
          <w:sz w:val="22"/>
        </w:rPr>
        <w:t>MEAN_NDVI_y = Σ(NDVIᵢ,y × Aᵢ) / ΣAᵢ</w:t>
      </w:r>
    </w:p>
    <w:p>
      <w:pPr>
        <w:jc w:val="center"/>
      </w:pPr>
      <w:r>
        <w:rPr>
          <w:rFonts w:ascii="Cambria Math" w:hAnsi="Cambria Math"/>
          <w:b/>
          <w:sz w:val="22"/>
        </w:rPr>
        <w:t>NDVI_CHANGE_2020_2025 = MEAN_NDVI_2025 − MEAN_NDVI_2020</w:t>
      </w:r>
    </w:p>
    <w:p>
      <w:pPr>
        <w:pStyle w:val="Heading2"/>
      </w:pPr>
      <w:r>
        <w:t>4.3 人口加权 NDVI</w:t>
      </w:r>
    </w:p>
    <w:p>
      <w:r>
        <w:t>将 2020 年有效 NDVI 与 2020 年 GHSL 人口栅格对齐，在城市边界内以人口数为权重。该指标表示平均居民所处位置的植被绿度，而不是城市整体绿地面积：</w:t>
      </w:r>
    </w:p>
    <w:p>
      <w:pPr>
        <w:jc w:val="center"/>
      </w:pPr>
      <w:r>
        <w:rPr>
          <w:rFonts w:ascii="Cambria Math" w:hAnsi="Cambria Math"/>
          <w:b/>
          <w:sz w:val="21"/>
        </w:rPr>
        <w:t>POP_WEIGHTED_NDVI_2020 = Σ(NDVIᵢ,2020 × POPᵢ,2020) / ΣPOPᵢ,2020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解释边界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城市平均 NDVI 较高并不意味着居民暴露较高；人口可能集中在低绿度区域。两项指标必须同时保留。</w:t>
            </w:r>
          </w:p>
        </w:tc>
      </w:tr>
    </w:tbl>
    <w:p>
      <w:pPr>
        <w:spacing w:after="0"/>
      </w:pPr>
    </w:p>
    <w:p>
      <w:pPr>
        <w:pStyle w:val="Heading1"/>
      </w:pPr>
      <w:r>
        <w:t>5 输出字段与数据库映射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3672"/>
        <w:gridCol w:w="2448"/>
        <w:gridCol w:w="1080"/>
        <w:gridCol w:w="1080"/>
        <w:gridCol w:w="1080"/>
      </w:tblGrid>
      <w:tr>
        <w:trPr>
          <w:cantSplit/>
          <w:tblHeader w:val="true"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单位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批次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GREEN_AREA_KM2_2021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绿地面积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km²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GREEN_SHARE_LAND_PCT_2021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绿地占陆地面积比例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TREE_AREA_KM2_2021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树木面积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km²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TREE_COVER_PCT_LAND_2021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树木覆盖率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SHRUB_AREA_KM2_2021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灌木面积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km²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SHRUB_COVER_PCT_LAND_2021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灌木覆盖率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GRASS_AREA_KM2_2021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草地面积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km²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GRASS_COVER_PCT_LAND_2021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草地覆盖率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BLUE_SPACE_PERMANENT_WATER_KM2_2021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永久水体面积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km²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PERMANENT_WATER_SHARE_PCT_2021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永久水体占边界比例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MEAN_NDVI_2020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2020 年平均 NDVI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0–1 常见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B05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MEAN_NDVI_2025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2025 年平均 NDVI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0–1 常见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B05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NDVI_CHANGE_2020_2025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NDVI 绝对变化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指数差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B05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4"/>
              </w:rPr>
              <w:t>POP_WEIGHTED_NDVI_2020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人口加权 NDVI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0–1 常见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正式指标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4"/>
              </w:rPr>
              <w:t>B05</w:t>
            </w:r>
          </w:p>
        </w:tc>
      </w:tr>
    </w:tbl>
    <w:p>
      <w:pPr>
        <w:spacing w:after="0"/>
      </w:pPr>
    </w:p>
    <w:p>
      <w:r>
        <w:t>共同主键与追溯字段至少包括 CITY_ID、城市名称、国家/地区代码、BOUNDARY_VERSION、METHOD_VERSION、SOURCE_DATA_YEAR、RUN_TIMESTAMP 与结果状态。双边界生产时，字段或表名必须使用 *_PHY / *_ADM 区分。</w:t>
      </w:r>
    </w:p>
    <w:p>
      <w:pPr>
        <w:pStyle w:val="Heading1"/>
      </w:pPr>
      <w:r>
        <w:t>6 质量控制与验收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1440"/>
        <w:gridCol w:w="5256"/>
        <w:gridCol w:w="2664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检查层级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验收规则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不通过时处理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城市主键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结果应为 2,311 行；CITY_ID 唯一且与边界主库一一对应。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停止入库，检查漏算、重复与 join 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面积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所有面积 ≥ 0；分项面积之和与绿地总面积允许微小重投影误差。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检查分类掩膜、像元面积与单位换算。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比例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覆盖率通常在 0–100%；允许最多 0.5 个百分点的像元边界误差。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超限值标记并复算分母。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NDVI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均值应在 [−1, 1]；变化值应在 [−2, 2]。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检查比例因子、QA 掩膜与空值传播。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人口暴露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仅在有效人口权重 &gt; 0 时计算。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分母为 0 时设为缺失，不得填 0。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空间覆盖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记录有效像元面积或覆盖率；低覆盖城市进入人工复核。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保留 QA_FLAG 与说明字段。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6"/>
              </w:rPr>
              <w:t>边界版本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结果必须标记 GC100-20260827-V1.0.1。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不同边界版本不得直接拼接或比较。</w:t>
            </w:r>
          </w:p>
        </w:tc>
      </w:tr>
    </w:tbl>
    <w:p>
      <w:pPr>
        <w:spacing w:after="0"/>
      </w:pPr>
    </w:p>
    <w:p>
      <w:pPr>
        <w:pStyle w:val="Heading2"/>
      </w:pPr>
      <w:r>
        <w:t>6.1 缺失值规则</w:t>
      </w:r>
    </w:p>
    <w:p>
      <w:pPr>
        <w:pStyle w:val="ListBullet"/>
        <w:keepLines/>
        <w:spacing w:after="60"/>
      </w:pPr>
      <w:r>
        <w:t>无有效像元、人口分母为 0 或任务失败时，结果写为缺失值，并同步写入 QA_FLAG / QA_NOTE。</w:t>
      </w:r>
    </w:p>
    <w:p>
      <w:pPr>
        <w:pStyle w:val="ListBullet"/>
        <w:keepLines/>
        <w:spacing w:after="60"/>
      </w:pPr>
      <w:r>
        <w:t>缺失不等于 0；0 只表示已成功观测且结果确实为零。</w:t>
      </w:r>
    </w:p>
    <w:p>
      <w:pPr>
        <w:pStyle w:val="ListBullet"/>
        <w:keepLines/>
        <w:spacing w:after="60"/>
      </w:pPr>
      <w:r>
        <w:t>网站展示应区分“无数据”“不适用”“真实为零”。</w:t>
      </w:r>
    </w:p>
    <w:p>
      <w:pPr>
        <w:pStyle w:val="Heading2"/>
      </w:pPr>
      <w:r>
        <w:t>6.2 抽样复核</w:t>
      </w:r>
    </w:p>
    <w:p>
      <w:r>
        <w:t>每批至少覆盖高纬度、干旱区、热带、沿海、岛屿、跨水体和多中心都市区样本；重点检查澳洲、日本、伦敦、德里与粤港澳等既有高风险区域。地图复核应同时显示物理边界、行政边界与原始栅格。</w:t>
      </w:r>
    </w:p>
    <w:p>
      <w:pPr>
        <w:pStyle w:val="Heading1"/>
      </w:pPr>
      <w:r>
        <w:t>7 版本与年度更新规则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1512"/>
        <w:gridCol w:w="3096"/>
        <w:gridCol w:w="475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版本规则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何时升级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边界版本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GC100-YYYYMMDD-Vx.y.z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城市边界、CITY_ID 或城市归属发生变化。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指标库版本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GCI-IND-vx.y-GEE-Bxx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指标增删、角色、年份或统计边界改变。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方法版本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GCI-METHOD-BGNDVI-vx.y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数据源、算法、QA、分母或解释发生变化。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7"/>
              </w:rPr>
              <w:t>运行批次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B04 / B05 + 重跑序号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脚本或参数变化后重新提交。</w:t>
            </w:r>
          </w:p>
        </w:tc>
      </w:tr>
    </w:tbl>
    <w:p>
      <w:pPr>
        <w:spacing w:after="0"/>
      </w:pPr>
    </w:p>
    <w:p>
      <w:pPr>
        <w:pStyle w:val="Heading2"/>
      </w:pPr>
      <w:r>
        <w:t>7.1 最新年份策略</w:t>
      </w:r>
    </w:p>
    <w:p>
      <w:r>
        <w:t>Global City Index 可采用“最新可得且全球覆盖完整”的数据，但不同指标无需强制同年。每项指标必须显式保存来源年份。若某数据源只更新部分国家，不应混合新旧年份形成全球横截面；应等待全球版或发布独立的过渡版本。</w:t>
      </w:r>
    </w:p>
    <w:p>
      <w:pPr>
        <w:pStyle w:val="Heading2"/>
      </w:pPr>
      <w:r>
        <w:t>7.2 重算顺序</w:t>
      </w:r>
    </w:p>
    <w:p>
      <w:pPr>
        <w:pStyle w:val="ListNumber"/>
        <w:spacing w:after="60"/>
      </w:pPr>
      <w:r>
        <w:t>冻结城市边界和城市主键；</w:t>
      </w:r>
    </w:p>
    <w:p>
      <w:pPr>
        <w:pStyle w:val="ListNumber"/>
        <w:spacing w:after="60"/>
      </w:pPr>
      <w:r>
        <w:t>锁定数据集 ID、年份、波段、比例因子与 QA 规则；</w:t>
      </w:r>
    </w:p>
    <w:p>
      <w:pPr>
        <w:pStyle w:val="ListNumber"/>
        <w:spacing w:after="60"/>
      </w:pPr>
      <w:r>
        <w:t>先运行物理边界结果，再以完全相同参数运行行政边界结果；</w:t>
      </w:r>
    </w:p>
    <w:p>
      <w:pPr>
        <w:pStyle w:val="ListNumber"/>
        <w:spacing w:after="60"/>
      </w:pPr>
      <w:r>
        <w:t>执行行数、唯一性、数值范围、空间覆盖和高风险案例复核；</w:t>
      </w:r>
    </w:p>
    <w:p>
      <w:pPr>
        <w:pStyle w:val="ListNumber"/>
        <w:spacing w:after="60"/>
      </w:pPr>
      <w:r>
        <w:t>结果、脚本、运行状态、方法文件与指标库同时封存。</w:t>
      </w:r>
    </w:p>
    <w:p>
      <w:pPr>
        <w:pStyle w:val="Heading1"/>
      </w:pPr>
      <w:r>
        <w:t>8 当前 GEE 生产状态</w:t>
      </w:r>
    </w:p>
    <w:p>
      <w:r>
        <w:t>以下状态从本地任务状态文件写入，记录日期为 2026-08-27；任务完成不等于科学验收完成。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AFC7D8"/>
          <w:left w:val="single" w:sz="4" w:color="AFC7D8"/>
          <w:bottom w:val="single" w:sz="4" w:color="AFC7D8"/>
          <w:right w:val="single" w:sz="4" w:color="AFC7D8"/>
          <w:insideH w:val="single" w:sz="4" w:color="AFC7D8"/>
          <w:insideV w:val="single" w:sz="4" w:color="AFC7D8"/>
        </w:tblBorders>
      </w:tblPr>
      <w:tblGrid>
        <w:gridCol w:w="936"/>
        <w:gridCol w:w="3672"/>
        <w:gridCol w:w="1296"/>
        <w:gridCol w:w="3456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批次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GEE Task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B01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Global City Index — GEE Batch 01:…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COMPLETED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7FTZPO7NN2XI3LT73NN4HNSS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B02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Population scale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RUNNING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K26PLEW36H3KPLGLZTIQZKA4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B03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Climate and topography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RUNNING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6RDSWXOYMHXW6MU3YNSGY5NS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B04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Green and blue space areas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RUNNING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WCHMA6JIXLWZ4EXS52PHNJDF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243447"/>
                <w:sz w:val="15"/>
              </w:rPr>
              <w:t>B05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NDVI greenness and population exp…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READY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5"/>
              </w:rPr>
              <w:t>PBSOVOAQB4KLSEJWIRR2HWZK</w:t>
            </w:r>
          </w:p>
        </w:tc>
      </w:tr>
    </w:tbl>
    <w:p>
      <w:pPr>
        <w:spacing w:after="0"/>
      </w:pP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入库门槛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只有在任务为 COMPLETED 且通过第 6 章全部验收后，结果才可从暂存层进入指标数据库终态表。</w:t>
            </w:r>
          </w:p>
        </w:tc>
      </w:tr>
    </w:tbl>
    <w:p>
      <w:pPr>
        <w:spacing w:after="0"/>
      </w:pPr>
    </w:p>
    <w:p>
      <w:pPr>
        <w:pStyle w:val="Heading1"/>
      </w:pPr>
      <w:r>
        <w:t>9 局限性与引用来源</w:t>
      </w:r>
    </w:p>
    <w:p>
      <w:pPr>
        <w:pStyle w:val="Heading2"/>
      </w:pPr>
      <w:r>
        <w:t>9.1 主要局限</w:t>
      </w:r>
    </w:p>
    <w:p>
      <w:pPr>
        <w:pStyle w:val="ListBullet"/>
        <w:keepLines/>
        <w:spacing w:after="60"/>
      </w:pPr>
      <w:r>
        <w:t>WorldCover 是遥感地表覆盖分类，不等同于法定公园、公共绿地或规划绿地。</w:t>
      </w:r>
    </w:p>
    <w:p>
      <w:pPr>
        <w:pStyle w:val="ListBullet"/>
        <w:keepLines/>
        <w:spacing w:after="60"/>
      </w:pPr>
      <w:r>
        <w:t>本版明确排除农田，因此城乡结合部的农业绿色空间不会计入绿地面积。</w:t>
      </w:r>
    </w:p>
    <w:p>
      <w:pPr>
        <w:pStyle w:val="ListBullet"/>
        <w:keepLines/>
        <w:spacing w:after="60"/>
      </w:pPr>
      <w:r>
        <w:t>MODIS 250 m 尺度可能平滑小型城市和狭窄绿地；跨气候区比较仍受物候和云污染影响。</w:t>
      </w:r>
    </w:p>
    <w:p>
      <w:pPr>
        <w:pStyle w:val="ListBullet"/>
        <w:keepLines/>
        <w:spacing w:after="60"/>
      </w:pPr>
      <w:r>
        <w:t>人口加权 NDVI 使用 2020 年人口与 2020 年 NDVI，不能直接解释为 2025 年居民暴露。</w:t>
      </w:r>
    </w:p>
    <w:p>
      <w:pPr>
        <w:pStyle w:val="ListBullet"/>
        <w:keepLines/>
        <w:spacing w:after="60"/>
      </w:pPr>
      <w:r>
        <w:t>永久水体定义不包含所有季节性水面，也不等同于可达或可利用的蓝空间。</w:t>
      </w:r>
    </w:p>
    <w:p>
      <w:pPr>
        <w:pStyle w:val="Heading2"/>
      </w:pPr>
      <w:r>
        <w:t>9.2 数据目录与方法来源</w:t>
      </w:r>
    </w:p>
    <w:p>
      <w:pPr>
        <w:spacing w:after="80"/>
      </w:pPr>
      <w:r>
        <w:rPr>
          <w:b/>
        </w:rPr>
        <w:t xml:space="preserve">ESA WorldCover v200: </w:t>
      </w:r>
      <w:hyperlink r:id="rId11">
        <w:r>
          <w:rPr>
            <w:color w:val="2E74B5"/>
            <w:u w:val="single"/>
          </w:rPr>
          <w:t>https://developers.google.com/earth-engine/datasets/catalog/ESA_WorldCover_v200</w:t>
        </w:r>
      </w:hyperlink>
    </w:p>
    <w:p>
      <w:pPr>
        <w:spacing w:after="80"/>
      </w:pPr>
      <w:r>
        <w:rPr>
          <w:b/>
        </w:rPr>
        <w:t xml:space="preserve">JRC Global Surface Water v1.4 — Yearly History: </w:t>
      </w:r>
      <w:hyperlink r:id="rId12">
        <w:r>
          <w:rPr>
            <w:color w:val="2E74B5"/>
            <w:u w:val="single"/>
          </w:rPr>
          <w:t>https://developers.google.com/earth-engine/datasets/catalog/JRC_GSW1_4_YearlyHistory</w:t>
        </w:r>
      </w:hyperlink>
    </w:p>
    <w:p>
      <w:pPr>
        <w:spacing w:after="80"/>
      </w:pPr>
      <w:r>
        <w:rPr>
          <w:b/>
        </w:rPr>
        <w:t xml:space="preserve">MODIS/061/MOD13Q1: </w:t>
      </w:r>
      <w:hyperlink r:id="rId13">
        <w:r>
          <w:rPr>
            <w:color w:val="2E74B5"/>
            <w:u w:val="single"/>
          </w:rPr>
          <w:t>https://developers.google.com/earth-engine/datasets/catalog/MODIS_061_MOD13Q1</w:t>
        </w:r>
      </w:hyperlink>
    </w:p>
    <w:p>
      <w:pPr>
        <w:spacing w:after="80"/>
      </w:pPr>
      <w:r>
        <w:rPr>
          <w:b/>
        </w:rPr>
        <w:t xml:space="preserve">GHSL Population P2023A: </w:t>
      </w:r>
      <w:hyperlink r:id="rId14">
        <w:r>
          <w:rPr>
            <w:color w:val="2E74B5"/>
            <w:u w:val="single"/>
          </w:rPr>
          <w:t>https://developers.google.com/earth-engine/datasets/catalog/JRC_GHSL_P2023A_GHS_POP</w:t>
        </w:r>
      </w:hyperlink>
    </w:p>
    <w:p>
      <w:pPr>
        <w:pStyle w:val="Heading2"/>
      </w:pPr>
      <w:r>
        <w:t>9.3 一句话方法表述（论文/网站可用）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8" w:color="178A9A"/>
          <w:left w:val="single" w:sz="8" w:color="178A9A"/>
          <w:bottom w:val="single" w:sz="8" w:color="178A9A"/>
          <w:right w:val="single" w:sz="8" w:color="178A9A"/>
          <w:insideH w:val="single" w:sz="8" w:color="178A9A"/>
          <w:insideV w:val="single" w:sz="8" w:color="178A9A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eastAsia="Microsoft YaHei"/>
                <w:b/>
                <w:color w:val="17365D"/>
              </w:rPr>
              <w:t>推荐表述</w:t>
            </w:r>
          </w:p>
          <w:p>
            <w:pPr>
              <w:spacing w:after="0"/>
            </w:pPr>
            <w:r>
              <w:rPr>
                <w:rFonts w:eastAsia="Microsoft YaHei"/>
                <w:color w:val="243447"/>
                <w:sz w:val="19"/>
              </w:rPr>
              <w:t>We quantified urban green-space area from the 2021 ESA WorldCover tree, shrubland and grassland classes, permanent water area from the 2021 JRC Global Surface Water yearly history, annual mean NDVI from quality-screened MODIS MOD13Q1 composites, and population-weighted NDVI using co-temporal 2020 GHSL population; all metrics were calculated within version-controlled city boundaries.</w:t>
            </w:r>
          </w:p>
        </w:tc>
      </w:tr>
    </w:tbl>
    <w:p>
      <w:pPr>
        <w:spacing w:after="0" w:before="0" w:lineRule="exact" w:line="20"/>
      </w:pPr>
      <w:r>
        <w:rPr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GCI-METHOD-BGNDVI-v1.1   |   </w:t>
    </w:r>
    <w:r>
      <w:rPr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78A9A"/>
        <w:sz w:val="16"/>
      </w:rPr>
      <w:t>GLOBAL CITY INDEX  ·  METHOD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8A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data">
    <w:name w:val="Small Metadata"/>
    <w:pPr>
      <w:spacing w:after="60"/>
    </w:pPr>
    <w:rPr>
      <w:rFonts w:ascii="Calibri" w:hAnsi="Calibri" w:eastAsia="Microsoft YaHei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earth-engine/datasets/catalog/ESA_WorldCover_v200" TargetMode="External"/><Relationship Id="rId12" Type="http://schemas.openxmlformats.org/officeDocument/2006/relationships/hyperlink" Target="https://developers.google.com/earth-engine/datasets/catalog/JRC_GSW1_4_YearlyHistory" TargetMode="External"/><Relationship Id="rId13" Type="http://schemas.openxmlformats.org/officeDocument/2006/relationships/hyperlink" Target="https://developers.google.com/earth-engine/datasets/catalog/MODIS_061_MOD13Q1" TargetMode="External"/><Relationship Id="rId14" Type="http://schemas.openxmlformats.org/officeDocument/2006/relationships/hyperlink" Target="https://developers.google.com/earth-engine/datasets/catalog/JRC_GHSL_P2023A_GHS_P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City Index 蓝绿空间与 NDVI 指标方法说明</dc:title>
  <dc:subject>Indicator methodology for blue-green space, NDVI, and population exposure</dc:subject>
  <dc:creator>Global City Index Research Project</dc:creator>
  <cp:keywords>Global City Index, GEE, greenspace, blue space, NDVI, methodology</cp:keywords>
  <dc:description>Method version GCI-METHOD-BGNDVI-v1.1; indicator framework GCI-IND-v2.3-GEE-B05.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