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宋体"/>
          <w:b/>
          <w:color w:val="000000"/>
          <w:sz w:val="44"/>
        </w:rPr>
        <w:t>金融行业风控决策数据分析师一周工作内容详述</w:t>
      </w:r>
    </w:p>
    <w:p>
      <w:r>
        <w:rPr>
          <w:rFonts w:ascii="Times New Roman" w:hAnsi="Times New Roman" w:eastAsia="宋体"/>
          <w:sz w:val="24"/>
        </w:rPr>
        <w:t>在金融科技深度融合的当下，风险控制已从传统的经验判断转向以数据驱动为核心的智能决策模式。作为连接数据科学与风险管理的关键枢纽，金融行业风控决策数据分析师承担着通过量化分析实现风险“早识别、早预警、早处置”的核心职能。该岗位不仅要求具备扎实的数据处理与建模能力，还需深入理解信贷业务逻辑、监管合规框架及企业战略目标，从而将复杂的技术成果转化为可执行的风险管理策略。</w:t>
      </w:r>
    </w:p>
    <w:p>
      <w:r>
        <w:rPr>
          <w:rFonts w:ascii="Times New Roman" w:hAnsi="Times New Roman" w:eastAsia="宋体"/>
          <w:sz w:val="24"/>
        </w:rPr>
        <w:t>本文档基于真实金融业务场景，系统梳理风控决策数据分析师的日常工作职责、典型周程安排、技术工具体系以及面临的核心挑战与应对路径。全文采用结构化叙述方式，旨在为从业者提供一份兼具专业深度与实践指导价值的实务参考，亦可用于新人培训、岗位说明书编制或跨部门协作沟通之用。</w:t>
      </w:r>
    </w:p>
    <w:p>
      <w:pPr>
        <w:spacing w:before="240" w:after="120"/>
        <w:ind w:firstLine="0"/>
      </w:pPr>
      <w:r>
        <w:rPr>
          <w:rFonts w:ascii="Arial" w:hAnsi="Arial" w:eastAsia="黑体"/>
          <w:b/>
          <w:color w:val="000000"/>
          <w:sz w:val="32"/>
        </w:rPr>
        <w:t>引言：金融风控决策数据分析师的角色定位</w:t>
      </w:r>
    </w:p>
    <w:p>
      <w:r>
        <w:rPr>
          <w:rFonts w:ascii="Times New Roman" w:hAnsi="Times New Roman" w:eastAsia="宋体"/>
          <w:sz w:val="24"/>
        </w:rPr>
        <w:t>金融风控决策数据分析师是现代金融机构风险管理体系中的关键角色，其本质在于构建“数据—模型—策略—决策”之间的闭环链条。该岗位通过整合内外部多源数据，运用统计建模与机器学习技术，对信用风险、欺诈风险、贷后表现等关键维度进行量化评估，并据此制定差异化的客户准入、额度分配与定价策略，最终嵌入自动化决策引擎实现实时干预。</w:t>
      </w:r>
    </w:p>
    <w:p>
      <w:r>
        <w:rPr>
          <w:rFonts w:ascii="Times New Roman" w:hAnsi="Times New Roman" w:eastAsia="宋体"/>
          <w:sz w:val="24"/>
        </w:rPr>
        <w:t>这一角色的战略价值体现在三个层面：一是提升风险识别精度，降低误杀率与漏判率；二是优化资源配置效率，在控制不良率的前提下扩大优质客群覆盖；三是支持监管合规，确保模型开发与策略调整过程满足审计追溯要求。随着《巴塞尔协议III》、EAST报送、个人信息保护法等法规的持续深化，风控分析师的工作已不仅是技术任务，更是机构稳健运营的重要保障。</w:t>
      </w:r>
    </w:p>
    <w:p>
      <w:r>
        <w:rPr>
          <w:rFonts w:ascii="Times New Roman" w:hAnsi="Times New Roman" w:eastAsia="宋体"/>
          <w:sz w:val="24"/>
        </w:rPr>
        <w:t>下文将围绕该岗位的七大核心职责展开，还原其在实际工作中的具体行为模式与专业逻辑，帮助读者全面理解这一复合型职位的真实面貌。</w:t>
      </w:r>
    </w:p>
    <w:p>
      <w:pPr>
        <w:spacing w:line="240" w:lineRule="auto"/>
        <w:ind w:firstLine="0"/>
        <w:jc w:val="center"/>
      </w:pPr>
      <w:r>
        <w:drawing>
          <wp:inline xmlns:a="http://schemas.openxmlformats.org/drawingml/2006/main" xmlns:pic="http://schemas.openxmlformats.org/drawingml/2006/picture">
            <wp:extent cx="4572000" cy="284321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843212"/>
                    </a:xfrm>
                    <a:prstGeom prst="rect"/>
                  </pic:spPr>
                </pic:pic>
              </a:graphicData>
            </a:graphic>
          </wp:inline>
        </w:drawing>
      </w:r>
    </w:p>
    <w:p>
      <w:pPr>
        <w:jc w:val="center"/>
      </w:pPr>
      <w:r>
        <w:rPr>
          <w:rFonts w:ascii="Times New Roman" w:hAnsi="Times New Roman" w:eastAsia="宋体"/>
          <w:color w:val="808080"/>
          <w:sz w:val="18"/>
        </w:rPr>
        <w:t>风控数据分析师一周典型工作日程时间轴图</w:t>
      </w:r>
    </w:p>
    <w:p>
      <w:pPr>
        <w:spacing w:before="240" w:after="120"/>
        <w:ind w:firstLine="0"/>
      </w:pPr>
      <w:r>
        <w:rPr>
          <w:rFonts w:ascii="Arial" w:hAnsi="Arial" w:eastAsia="黑体"/>
          <w:b/>
          <w:color w:val="000000"/>
          <w:sz w:val="32"/>
        </w:rPr>
        <w:t>一、日常工作职责：七大核心职能详解</w:t>
      </w:r>
    </w:p>
    <w:p>
      <w:pPr>
        <w:spacing w:before="200" w:after="120"/>
        <w:ind w:firstLine="0"/>
      </w:pPr>
      <w:r>
        <w:rPr>
          <w:rFonts w:ascii="Arial" w:hAnsi="Arial" w:eastAsia="黑体"/>
          <w:b/>
          <w:color w:val="000000"/>
          <w:sz w:val="28"/>
        </w:rPr>
        <w:t>（一）风险模型开发与优化</w:t>
      </w:r>
    </w:p>
    <w:p>
      <w:r>
        <w:rPr>
          <w:rFonts w:ascii="Times New Roman" w:hAnsi="Times New Roman" w:eastAsia="宋体"/>
          <w:sz w:val="24"/>
        </w:rPr>
        <w:t>风险模型开发是风控决策数据分析师的核心技术职责之一，涵盖从需求定义到模型上线全生命周期的管理。分析师需主导信用评分卡（Application Scorecard）、行为评分卡（Behavioral Scorecard）、催收评分卡（Collection Scorecard）及反欺诈模型的设计与迭代。</w:t>
      </w:r>
    </w:p>
    <w:p>
      <w:r>
        <w:rPr>
          <w:rFonts w:ascii="Times New Roman" w:hAnsi="Times New Roman" w:eastAsia="宋体"/>
          <w:sz w:val="24"/>
        </w:rPr>
        <w:t>在建模过程中，分析师首先根据业务目标确定因变量（如M1逾期、欺诈标签），随后开展特征工程，包括IV值筛选（单变量信息值≥0.02为有效特征）、WOE转换（Weight of Evidence）与VIF检验（方差膨胀因子≤10以排除多重共线性）。主流算法选择上，逻辑回归因其高可解释性常用于监管报备类模型</w:t>
      </w:r>
      <w:hyperlink r:id="rId10">
        <w:r>
          <w:rPr>
            <w:rFonts w:ascii="Times New Roman" w:hAnsi="Times New Roman" w:eastAsia="宋体"/>
            <w:color w:val="0066CC"/>
            <w:sz w:val="24"/>
            <w:u w:val="single"/>
            <w:vertAlign w:val="superscript"/>
          </w:rPr>
          <w:t>1</w:t>
        </w:r>
      </w:hyperlink>
      <w:r>
        <w:rPr>
          <w:rFonts w:ascii="Times New Roman" w:hAnsi="Times New Roman" w:eastAsia="宋体"/>
          <w:sz w:val="24"/>
        </w:rPr>
        <w:t>，而XGBoost、LightGBM则广泛应用于捕捉非线性关系，提升KS值（区分度指标）至0.4以上</w:t>
      </w:r>
      <w:hyperlink r:id="rId11">
        <w:r>
          <w:rPr>
            <w:rFonts w:ascii="Times New Roman" w:hAnsi="Times New Roman" w:eastAsia="宋体"/>
            <w:color w:val="0066CC"/>
            <w:sz w:val="24"/>
            <w:u w:val="single"/>
            <w:vertAlign w:val="superscript"/>
          </w:rPr>
          <w:t>2</w:t>
        </w:r>
      </w:hyperlink>
      <w:r>
        <w:rPr>
          <w:rFonts w:ascii="Times New Roman" w:hAnsi="Times New Roman" w:eastAsia="宋体"/>
          <w:sz w:val="24"/>
        </w:rPr>
        <w:t>。</w:t>
      </w:r>
    </w:p>
    <w:p>
      <w:r>
        <w:rPr>
          <w:rFonts w:ascii="Times New Roman" w:hAnsi="Times New Roman" w:eastAsia="宋体"/>
          <w:sz w:val="24"/>
        </w:rPr>
        <w:t>模型训练完成后，需通过交叉验证评估AUC（曲线下面积）、PSI（群体稳定性指数，应小于0.1）等关键指标，并撰写符合FRB/FFIEC标准的模型开发报告，供内部评审与外部审计使用。</w:t>
      </w:r>
    </w:p>
    <w:p>
      <w:pPr>
        <w:spacing w:before="200" w:after="120"/>
        <w:ind w:firstLine="0"/>
      </w:pPr>
      <w:r>
        <w:rPr>
          <w:rFonts w:ascii="Arial" w:hAnsi="Arial" w:eastAsia="黑体"/>
          <w:b/>
          <w:color w:val="000000"/>
          <w:sz w:val="28"/>
        </w:rPr>
        <w:t>（二）风控数据分析与监控</w:t>
      </w:r>
    </w:p>
    <w:p>
      <w:r>
        <w:rPr>
          <w:rFonts w:ascii="Times New Roman" w:hAnsi="Times New Roman" w:eastAsia="宋体"/>
          <w:sz w:val="24"/>
        </w:rPr>
        <w:t>日常监控构成了风控工作的基础防线。分析师需建立覆盖贷前、贷中、贷后的全流程风险监测报表体系，实时跟踪首逾率（First Payment Default Rate）、迁移率（Roll Rate）、不良贷款率（NPL）等资产质量指标的变化趋势。</w:t>
      </w:r>
    </w:p>
    <w:p>
      <w:r>
        <w:rPr>
          <w:rFonts w:ascii="Times New Roman" w:hAnsi="Times New Roman" w:eastAsia="宋体"/>
          <w:sz w:val="24"/>
        </w:rPr>
        <w:t>例如，针对某产品线连续两周首逾率上升5%的情况，分析师需快速下钻至渠道、区域、客群维度，结合Vintage分析判断是否为结构性恶化而非短期波动。同时，需设置自动预警机制，当关键指标突破预设阈值（如PSI&gt;0.25）时触发告警流程，及时通知相关团队介入排查。</w:t>
      </w:r>
    </w:p>
    <w:p>
      <w:r>
        <w:rPr>
          <w:rFonts w:ascii="Times New Roman" w:hAnsi="Times New Roman" w:eastAsia="宋体"/>
          <w:sz w:val="24"/>
        </w:rPr>
        <w:t>此外，定期输出专题分析报告，如季度资产质量复盘、新产品上线后表现追踪、特定行业集中度风险评估等，为管理层提供决策依据。</w:t>
      </w:r>
    </w:p>
    <w:p>
      <w:pPr>
        <w:spacing w:before="200" w:after="120"/>
        <w:ind w:firstLine="0"/>
      </w:pPr>
      <w:r>
        <w:rPr>
          <w:rFonts w:ascii="Arial" w:hAnsi="Arial" w:eastAsia="黑体"/>
          <w:b/>
          <w:color w:val="000000"/>
          <w:sz w:val="28"/>
        </w:rPr>
        <w:t>（三）风控策略制定与实施</w:t>
      </w:r>
    </w:p>
    <w:p>
      <w:r>
        <w:rPr>
          <w:rFonts w:ascii="Times New Roman" w:hAnsi="Times New Roman" w:eastAsia="宋体"/>
          <w:sz w:val="24"/>
        </w:rPr>
        <w:t>模型输出仅为中间结果，真正的业务影响来自于策略落地。分析师需基于模型评分分布，划分风险等级区间（如低/中/高风险），并制定差异化策略规则。例如：</w:t>
        <w:br/>
        <w:t>- 对低风险客户实行自动化审批、提高授信额度10%-20%；</w:t>
        <w:br/>
        <w:t>- 对中风险客户引入人工复核或附加补充材料要求；</w:t>
        <w:br/>
        <w:t>- 对高风险客户执行拒绝策略或强制追加担保措施。</w:t>
      </w:r>
    </w:p>
    <w:p>
      <w:r>
        <w:rPr>
          <w:rFonts w:ascii="Times New Roman" w:hAnsi="Times New Roman" w:eastAsia="宋体"/>
          <w:sz w:val="24"/>
        </w:rPr>
        <w:t>上述策略需在决策引擎（Decision Engine）中配置逻辑流，并通过A/B测试验证效果。测试期间需监控通过率、逾期率、坏账损失等核心KPI变化，确保新策略在不显著牺牲转化率的前提下有效压降风险水平。测试成功后方可全量上线，并纳入常规监控体系。</w:t>
      </w:r>
    </w:p>
    <w:p>
      <w:pPr>
        <w:spacing w:before="200" w:after="120"/>
        <w:ind w:firstLine="0"/>
      </w:pPr>
      <w:r>
        <w:rPr>
          <w:rFonts w:ascii="Arial" w:hAnsi="Arial" w:eastAsia="黑体"/>
          <w:b/>
          <w:color w:val="000000"/>
          <w:sz w:val="28"/>
        </w:rPr>
        <w:t>（四）数据体系建设与治理</w:t>
      </w:r>
    </w:p>
    <w:p>
      <w:r>
        <w:rPr>
          <w:rFonts w:ascii="Times New Roman" w:hAnsi="Times New Roman" w:eastAsia="宋体"/>
          <w:sz w:val="24"/>
        </w:rPr>
        <w:t>高质量的数据是所有分析与建模工作的前提。分析师需参与风控数据集市（Risk Data Mart）的建设，整合来自核心系统、征信平台、第三方数据服务商（如百行征信、运营商）的内外部数据资源。</w:t>
      </w:r>
    </w:p>
    <w:p>
      <w:r>
        <w:rPr>
          <w:rFonts w:ascii="Times New Roman" w:hAnsi="Times New Roman" w:eastAsia="宋体"/>
          <w:sz w:val="24"/>
        </w:rPr>
        <w:t>在此过程中，执行标准化的数据清洗流程至关重要，包括缺失值填充（连续变量采用分位数插补，分类变量用众数填充）、异常值处理（如Z-score&gt;3视为离群点）、去重与一致性校验。同时，遵循JR/T 0197-2020《金融数据安全 数据安全分级指南》，对敏感字段实施脱敏存储与访问权限控制，确保符合《个人信息保护法》要求。</w:t>
      </w:r>
    </w:p>
    <w:p>
      <w:r>
        <w:rPr>
          <w:rFonts w:ascii="Times New Roman" w:hAnsi="Times New Roman" w:eastAsia="宋体"/>
          <w:sz w:val="24"/>
        </w:rPr>
        <w:t>对于非结构化数据（如合同文本、通话录音），逐步引入OCR识别与NLP技术提取关键信息，丰富特征维度。</w:t>
      </w:r>
    </w:p>
    <w:p>
      <w:pPr>
        <w:spacing w:before="200" w:after="120"/>
        <w:ind w:firstLine="0"/>
      </w:pPr>
      <w:r>
        <w:rPr>
          <w:rFonts w:ascii="Arial" w:hAnsi="Arial" w:eastAsia="黑体"/>
          <w:b/>
          <w:color w:val="000000"/>
          <w:sz w:val="28"/>
        </w:rPr>
        <w:t>（五）跨部门协作与项目推进</w:t>
      </w:r>
    </w:p>
    <w:p>
      <w:r>
        <w:rPr>
          <w:rFonts w:ascii="Times New Roman" w:hAnsi="Times New Roman" w:eastAsia="宋体"/>
          <w:sz w:val="24"/>
        </w:rPr>
        <w:t>风控并非孤立运作，而是高度依赖协同的系统工程。分析师需频繁与产品、技术、合规、运营等部门对接，推动风控方案落地。</w:t>
      </w:r>
    </w:p>
    <w:p>
      <w:r>
        <w:rPr>
          <w:rFonts w:ascii="Times New Roman" w:hAnsi="Times New Roman" w:eastAsia="宋体"/>
          <w:sz w:val="24"/>
        </w:rPr>
        <w:t>典型协作场景包括：协助新产品上线前完成风险评估与策略设计；配合技术团队完成API接口联调与数据传输测试；响应合规部门关于EAST报送、反洗钱数据监测的需求；参与监管检查材料准备，说明模型逻辑与策略依据。</w:t>
      </w:r>
    </w:p>
    <w:p>
      <w:r>
        <w:rPr>
          <w:rFonts w:ascii="Times New Roman" w:hAnsi="Times New Roman" w:eastAsia="宋体"/>
          <w:sz w:val="24"/>
        </w:rPr>
        <w:t>此类协作往往涉及多方利益博弈，例如销售端追求放款规模增长，而风控端强调资产质量稳定。因此，分析师需具备良好的沟通技巧，在平衡业务发展与风险控制之间寻求最优解。</w:t>
      </w:r>
    </w:p>
    <w:p>
      <w:pPr>
        <w:spacing w:before="200" w:after="120"/>
        <w:ind w:firstLine="0"/>
      </w:pPr>
      <w:r>
        <w:rPr>
          <w:rFonts w:ascii="Arial" w:hAnsi="Arial" w:eastAsia="黑体"/>
          <w:b/>
          <w:color w:val="000000"/>
          <w:sz w:val="28"/>
        </w:rPr>
        <w:t>（六）外部数据与模型验证</w:t>
      </w:r>
    </w:p>
    <w:p>
      <w:r>
        <w:rPr>
          <w:rFonts w:ascii="Times New Roman" w:hAnsi="Times New Roman" w:eastAsia="宋体"/>
          <w:sz w:val="24"/>
        </w:rPr>
        <w:t>为增强风险识别能力，金融机构普遍采购外部数据源，如工商注册信息、司法涉诉记录、税务缴纳情况等。分析师需对其应用价值进行前置评估，主要考察两个维度：一是覆盖率（如某地区小微企业纳税数据接入比例）；二是增量性（加入该变量后模型KS值提升幅度）。</w:t>
      </w:r>
    </w:p>
    <w:p>
      <w:r>
        <w:rPr>
          <w:rFonts w:ascii="Times New Roman" w:hAnsi="Times New Roman" w:eastAsia="宋体"/>
          <w:sz w:val="24"/>
        </w:rPr>
        <w:t>与此同时，定期开展模型回测与效果验证，确保模型性能未发生显著衰减。例如，每月对比模型在训练集与当前生产环境下的AUC差异，若下降超过0.05则触发重新训练流程。所有验证过程均需形成书面文档，满足内部审计与监管检查要求。</w:t>
      </w:r>
    </w:p>
    <w:p>
      <w:pPr>
        <w:spacing w:before="200" w:after="120"/>
        <w:ind w:firstLine="0"/>
      </w:pPr>
      <w:r>
        <w:rPr>
          <w:rFonts w:ascii="Arial" w:hAnsi="Arial" w:eastAsia="黑体"/>
          <w:b/>
          <w:color w:val="000000"/>
          <w:sz w:val="28"/>
        </w:rPr>
        <w:t>（七）数据可视化与报告撰写</w:t>
      </w:r>
    </w:p>
    <w:p>
      <w:r>
        <w:rPr>
          <w:rFonts w:ascii="Times New Roman" w:hAnsi="Times New Roman" w:eastAsia="宋体"/>
          <w:sz w:val="24"/>
        </w:rPr>
        <w:t>将复杂的分析结果转化为直观易懂的洞察，是分析师不可或缺的能力。借助Tableau、FineBI等BI工具，分析师构建交互式仪表盘，展示关键风险指标的趋势变化、区域分布与客群对比。</w:t>
      </w:r>
    </w:p>
    <w:p>
      <w:r>
        <w:rPr>
          <w:rFonts w:ascii="Times New Roman" w:hAnsi="Times New Roman" w:eastAsia="宋体"/>
          <w:sz w:val="24"/>
        </w:rPr>
        <w:t>报告撰写遵循“结论先行”原则，采用金字塔结构组织内容：先提出核心发现（如“华东区个体工商户逾期率环比上升8%，主因为行业政策收紧”），再辅以图表与数据支撑，最后给出可操作建议（如“建议暂停该细分客群新增授信，启动存量客户回访”）。</w:t>
      </w:r>
    </w:p>
    <w:p>
      <w:r>
        <w:rPr>
          <w:rFonts w:ascii="Times New Roman" w:hAnsi="Times New Roman" w:eastAsia="宋体"/>
          <w:sz w:val="24"/>
        </w:rPr>
        <w:t>固定频率报表（日报、周报、月报）则聚焦高频监控指标，确保管理层能第一时间掌握整体风险态势。</w:t>
      </w:r>
    </w:p>
    <w:p>
      <w:pPr>
        <w:spacing w:before="240" w:after="120"/>
        <w:ind w:firstLine="0"/>
      </w:pPr>
      <w:r>
        <w:rPr>
          <w:rFonts w:ascii="Arial" w:hAnsi="Arial" w:eastAsia="黑体"/>
          <w:b/>
          <w:color w:val="000000"/>
          <w:sz w:val="32"/>
        </w:rPr>
        <w:t>二、典型工作日程：一周工作节奏还原</w:t>
      </w:r>
    </w:p>
    <w:p>
      <w:pPr>
        <w:spacing w:before="200" w:after="120"/>
        <w:ind w:firstLine="0"/>
      </w:pPr>
      <w:r>
        <w:rPr>
          <w:rFonts w:ascii="Arial" w:hAnsi="Arial" w:eastAsia="黑体"/>
          <w:b/>
          <w:color w:val="000000"/>
          <w:sz w:val="28"/>
        </w:rPr>
        <w:t>周一：启动与规划</w:t>
      </w:r>
    </w:p>
    <w:p>
      <w:r>
        <w:rPr>
          <w:rFonts w:ascii="Times New Roman" w:hAnsi="Times New Roman" w:eastAsia="宋体"/>
          <w:sz w:val="24"/>
        </w:rPr>
        <w:t>新的一周始于信息同步与任务部署。分析师通常在上午优先处理积压邮件与系统通知，审阅周末生成的监控报表，确认无重大异动（如某渠道首逾率突增30%）。随后参加部门周例会，汇报上周关键发现，接收本周重点工作指令。</w:t>
      </w:r>
    </w:p>
    <w:p>
      <w:r>
        <w:rPr>
          <w:rFonts w:ascii="Times New Roman" w:hAnsi="Times New Roman" w:eastAsia="宋体"/>
          <w:sz w:val="24"/>
        </w:rPr>
        <w:t>会议结束后，与团队成员召开短会，明确各自负责的专项任务优先级。例如，某分析师可能被指派开展新一轮催收效能分析，另一人则负责准备向风控委员会汇报的季度资产质量报告。同时，启动本周计划内的深度分析项目，如更新客户画像标签体系或评估新接入的社保数据有效性。</w:t>
      </w:r>
    </w:p>
    <w:p>
      <w:r>
        <w:rPr>
          <w:rFonts w:ascii="Times New Roman" w:hAnsi="Times New Roman" w:eastAsia="宋体"/>
          <w:sz w:val="24"/>
        </w:rPr>
        <w:t>下午时间常用于市场趋势研判，例如阅读央行货币政策报告、研究同业最新风控动态，为后续策略调整积累背景知识。</w:t>
      </w:r>
    </w:p>
    <w:p>
      <w:pPr>
        <w:spacing w:before="200" w:after="120"/>
        <w:ind w:firstLine="0"/>
      </w:pPr>
      <w:r>
        <w:rPr>
          <w:rFonts w:ascii="Arial" w:hAnsi="Arial" w:eastAsia="黑体"/>
          <w:b/>
          <w:color w:val="000000"/>
          <w:sz w:val="28"/>
        </w:rPr>
        <w:t>周二：深度分析与建模</w:t>
      </w:r>
    </w:p>
    <w:p>
      <w:r>
        <w:rPr>
          <w:rFonts w:ascii="Times New Roman" w:hAnsi="Times New Roman" w:eastAsia="宋体"/>
          <w:sz w:val="24"/>
        </w:rPr>
        <w:t>周二通常是专注建模与特征开发的“深潜日”。分析师从数据库提取目标客群样本（如近三个月申请且已结清的客户），进行特征工程处理。具体操作包括计算滚动窗口统计量（如过去7天登录频次均值）、构造衍生变量（如负债收入比、额度使用率斜率）并完成IV筛选。</w:t>
      </w:r>
    </w:p>
    <w:p>
      <w:r>
        <w:rPr>
          <w:rFonts w:ascii="Times New Roman" w:hAnsi="Times New Roman" w:eastAsia="宋体"/>
          <w:sz w:val="24"/>
        </w:rPr>
        <w:t>随后使用Python或SAS搭建初步模型，常用逻辑回归作为基线模型，再尝试XGBoost进行性能对比。训练过程中重点关注KS值、AUC、PSI等指标表现，并绘制ROC曲线与Lift图辅助评估。若为贷后方向，则可能开展回款预测建模，预测不同催收策略下的回收金额分布。</w:t>
      </w:r>
    </w:p>
    <w:p>
      <w:r>
        <w:rPr>
          <w:rFonts w:ascii="Times New Roman" w:hAnsi="Times New Roman" w:eastAsia="宋体"/>
          <w:sz w:val="24"/>
        </w:rPr>
        <w:t>全天保持较低的会议密度，确保有整块时间用于代码调试与模型优化。</w:t>
      </w:r>
    </w:p>
    <w:p>
      <w:pPr>
        <w:spacing w:before="200" w:after="120"/>
        <w:ind w:firstLine="0"/>
      </w:pPr>
      <w:r>
        <w:rPr>
          <w:rFonts w:ascii="Arial" w:hAnsi="Arial" w:eastAsia="黑体"/>
          <w:b/>
          <w:color w:val="000000"/>
          <w:sz w:val="28"/>
        </w:rPr>
        <w:t>周三：跨部门协同与策略讨论</w:t>
      </w:r>
    </w:p>
    <w:p>
      <w:r>
        <w:rPr>
          <w:rFonts w:ascii="Times New Roman" w:hAnsi="Times New Roman" w:eastAsia="宋体"/>
          <w:sz w:val="24"/>
        </w:rPr>
        <w:t>周三进入高强度协作阶段。上午通常参加由产品、运营、风控三方参与的联席会议，共同分析近期贷后表现下滑原因。例如，若数据显示某营销活动带来的客户逾期率显著高于平均水平，需联合排查是否存在渠道作弊或用户诱导问题。</w:t>
      </w:r>
    </w:p>
    <w:p>
      <w:r>
        <w:rPr>
          <w:rFonts w:ascii="Times New Roman" w:hAnsi="Times New Roman" w:eastAsia="宋体"/>
          <w:sz w:val="24"/>
        </w:rPr>
        <w:t>会后对接开发团队，推进既定风控策略在决策引擎中的部署配置。例如，将新版本评分卡发布至UAT环境，设定灰度放量比例（如5%流量），并编写策略变更影响评估报告，预估通过率与逾期率变化范围。</w:t>
      </w:r>
    </w:p>
    <w:p>
      <w:r>
        <w:rPr>
          <w:rFonts w:ascii="Times New Roman" w:hAnsi="Times New Roman" w:eastAsia="宋体"/>
          <w:sz w:val="24"/>
        </w:rPr>
        <w:t>下午根据反馈调整分析方向，更新自动化报表脚本，确保监控体系能够反映最新策略状态。</w:t>
      </w:r>
    </w:p>
    <w:p>
      <w:pPr>
        <w:spacing w:before="200" w:after="120"/>
        <w:ind w:firstLine="0"/>
      </w:pPr>
      <w:r>
        <w:rPr>
          <w:rFonts w:ascii="Arial" w:hAnsi="Arial" w:eastAsia="黑体"/>
          <w:b/>
          <w:color w:val="000000"/>
          <w:sz w:val="28"/>
        </w:rPr>
        <w:t>周四：报告撰写与可视化</w:t>
      </w:r>
    </w:p>
    <w:p>
      <w:r>
        <w:rPr>
          <w:rFonts w:ascii="Times New Roman" w:hAnsi="Times New Roman" w:eastAsia="宋体"/>
          <w:sz w:val="24"/>
        </w:rPr>
        <w:t>周四重心转向成果交付。分析师利用Tableau或FineBI制作数据可视化图表，如Vintage分析图（展示不同放款月份批次客户的逾期演变路径）、Flow Rate热力图（呈现各账龄段客户迁移概率）或雷达图（刻画高风险客户多维特征画像）。</w:t>
      </w:r>
    </w:p>
    <w:p>
      <w:r>
        <w:rPr>
          <w:rFonts w:ascii="Times New Roman" w:hAnsi="Times New Roman" w:eastAsia="宋体"/>
          <w:sz w:val="24"/>
        </w:rPr>
        <w:t>撰写数据分析报告时，严格遵循“背景—方法—发现—建议”结构，突出结论导向。例如：“Q3新渠道获客中自由职业者占比达62%，其M3+逾期率为行业均值的1.8倍，建议收紧该群体授信政策。” 报告完成后提交上级主管审核，为周五汇报做准备。</w:t>
      </w:r>
    </w:p>
    <w:p>
      <w:r>
        <w:rPr>
          <w:rFonts w:ascii="Times New Roman" w:hAnsi="Times New Roman" w:eastAsia="宋体"/>
          <w:sz w:val="24"/>
        </w:rPr>
        <w:t>部分时间也用于完善固定报表模板，提升后续工作效率。</w:t>
      </w:r>
    </w:p>
    <w:p>
      <w:pPr>
        <w:spacing w:before="200" w:after="120"/>
        <w:ind w:firstLine="0"/>
      </w:pPr>
      <w:r>
        <w:rPr>
          <w:rFonts w:ascii="Arial" w:hAnsi="Arial" w:eastAsia="黑体"/>
          <w:b/>
          <w:color w:val="000000"/>
          <w:sz w:val="28"/>
        </w:rPr>
        <w:t>周五：汇报、复盘与收尾</w:t>
      </w:r>
    </w:p>
    <w:p>
      <w:r>
        <w:rPr>
          <w:rFonts w:ascii="Times New Roman" w:hAnsi="Times New Roman" w:eastAsia="宋体"/>
          <w:sz w:val="24"/>
        </w:rPr>
        <w:t>周五上午主要用于成果汇报。分析师向管理层或风控委员会陈述本周分析结论，解释关键风险走势，推荐策略调整方案。汇报中需准备应对质询，如“为何选择该阈值？”“是否有历史案例支持？”</w:t>
      </w:r>
    </w:p>
    <w:p>
      <w:r>
        <w:rPr>
          <w:rFonts w:ascii="Times New Roman" w:hAnsi="Times New Roman" w:eastAsia="宋体"/>
          <w:sz w:val="24"/>
        </w:rPr>
        <w:t>下午进行工作复盘，总结目标完成度，检查数据质量完整性，避免下周分析底座存在缺陷。同时学习新技术或阅读行业白皮书（如IEEE 3410-2025《金融风控大模型国际标准》），保持专业能力更新。</w:t>
      </w:r>
    </w:p>
    <w:p>
      <w:r>
        <w:rPr>
          <w:rFonts w:ascii="Times New Roman" w:hAnsi="Times New Roman" w:eastAsia="宋体"/>
          <w:sz w:val="24"/>
        </w:rPr>
        <w:t>最后整理待办事项清单，规划下周一重点任务，形成良性工作循环。</w:t>
      </w:r>
    </w:p>
    <w:p>
      <w:pPr>
        <w:spacing w:before="200" w:after="120"/>
        <w:ind w:firstLine="0"/>
      </w:pPr>
      <w:r>
        <w:rPr>
          <w:rFonts w:ascii="Arial" w:hAnsi="Arial" w:eastAsia="黑体"/>
          <w:b/>
          <w:color w:val="000000"/>
          <w:sz w:val="28"/>
        </w:rPr>
        <w:t>特殊任务弹性响应机制</w:t>
      </w:r>
    </w:p>
    <w:p>
      <w:r>
        <w:rPr>
          <w:rFonts w:ascii="Times New Roman" w:hAnsi="Times New Roman" w:eastAsia="宋体"/>
          <w:sz w:val="24"/>
        </w:rPr>
        <w:t>除周期性任务外，分析师还需应对突发状况。当关键指标出现显著偏移（如M1逾期率单日飙升20%），需立即启动紧急排查流程：核查数据采集链路是否正常、分析异常集中在哪些渠道或客群、定位潜在问题根源并上报。</w:t>
      </w:r>
    </w:p>
    <w:p>
      <w:r>
        <w:rPr>
          <w:rFonts w:ascii="Times New Roman" w:hAnsi="Times New Roman" w:eastAsia="宋体"/>
          <w:sz w:val="24"/>
        </w:rPr>
        <w:t>类似地，当新业务上线或资产质量恶化时，触发模型迭代流程；遇监管报送节点，则全力配合完成EAST数据提取与格式转换；面对业务方临时取数请求，评估合理性后协调资源响应。</w:t>
      </w:r>
    </w:p>
    <w:p>
      <w:r>
        <w:rPr>
          <w:rFonts w:ascii="Times New Roman" w:hAnsi="Times New Roman" w:eastAsia="宋体"/>
          <w:sz w:val="24"/>
        </w:rPr>
        <w:t>这种“标准化+敏捷响应”的混合模式，体现了风控工作的严谨性与灵活性双重特质。</w:t>
      </w:r>
    </w:p>
    <w:p>
      <w:pPr>
        <w:spacing w:before="240" w:after="120"/>
        <w:ind w:firstLine="0"/>
      </w:pPr>
      <w:r>
        <w:rPr>
          <w:rFonts w:ascii="Arial" w:hAnsi="Arial" w:eastAsia="黑体"/>
          <w:b/>
          <w:color w:val="000000"/>
          <w:sz w:val="32"/>
        </w:rPr>
        <w:t>三、主要工具与技术体系</w:t>
      </w:r>
    </w:p>
    <w:p>
      <w:pPr>
        <w:spacing w:before="200" w:after="120"/>
        <w:ind w:firstLine="0"/>
      </w:pPr>
      <w:r>
        <w:rPr>
          <w:rFonts w:ascii="Arial" w:hAnsi="Arial" w:eastAsia="黑体"/>
          <w:b/>
          <w:color w:val="000000"/>
          <w:sz w:val="28"/>
        </w:rPr>
        <w:t>（一）数据处理与分析工具</w:t>
      </w:r>
    </w:p>
    <w:p>
      <w:r>
        <w:rPr>
          <w:rFonts w:ascii="Times New Roman" w:hAnsi="Times New Roman" w:eastAsia="宋体"/>
          <w:sz w:val="24"/>
        </w:rPr>
        <w:t>高效的数据处理能力是分析师的基本功。Python凭借其丰富的库生态成为首选语言，其中Pandas用于复杂逻辑处理与批量清洗，NumPy支持高性能数值运算</w:t>
      </w:r>
      <w:hyperlink r:id="rId12">
        <w:r>
          <w:rPr>
            <w:rFonts w:ascii="Times New Roman" w:hAnsi="Times New Roman" w:eastAsia="宋体"/>
            <w:color w:val="0066CC"/>
            <w:sz w:val="24"/>
            <w:u w:val="single"/>
            <w:vertAlign w:val="superscript"/>
          </w:rPr>
          <w:t>3</w:t>
        </w:r>
      </w:hyperlink>
      <w:r>
        <w:rPr>
          <w:rFonts w:ascii="Times New Roman" w:hAnsi="Times New Roman" w:eastAsia="宋体"/>
          <w:sz w:val="24"/>
        </w:rPr>
        <w:t>。SQL则是日常查询的标准工具，分析师需熟练编写JOIN、窗口函数等语句，从Hive、Oracle等数据库高效提取所需数据。</w:t>
      </w:r>
    </w:p>
    <w:p>
      <w:r>
        <w:rPr>
          <w:rFonts w:ascii="Times New Roman" w:hAnsi="Times New Roman" w:eastAsia="宋体"/>
          <w:sz w:val="24"/>
        </w:rPr>
        <w:t>对于统计建模密集型任务，R语言仍具优势，尤其在时间序列分析与传统信用评分卡开发中广泛应用</w:t>
      </w:r>
      <w:hyperlink r:id="rId13">
        <w:r>
          <w:rPr>
            <w:rFonts w:ascii="Times New Roman" w:hAnsi="Times New Roman" w:eastAsia="宋体"/>
            <w:color w:val="0066CC"/>
            <w:sz w:val="24"/>
            <w:u w:val="single"/>
            <w:vertAlign w:val="superscript"/>
          </w:rPr>
          <w:t>4</w:t>
        </w:r>
      </w:hyperlink>
      <w:r>
        <w:rPr>
          <w:rFonts w:ascii="Times New Roman" w:hAnsi="Times New Roman" w:eastAsia="宋体"/>
          <w:sz w:val="24"/>
        </w:rPr>
        <w:t>。此外，SAS在部分国有银行与持牌消费金融公司中仍有存量使用，分析师需具备基本读写能力。</w:t>
      </w:r>
    </w:p>
    <w:p>
      <w:pPr>
        <w:spacing w:before="200" w:after="120"/>
        <w:ind w:firstLine="0"/>
      </w:pPr>
      <w:r>
        <w:rPr>
          <w:rFonts w:ascii="Arial" w:hAnsi="Arial" w:eastAsia="黑体"/>
          <w:b/>
          <w:color w:val="000000"/>
          <w:sz w:val="28"/>
        </w:rPr>
        <w:t>（二）统计建模与机器学习技术</w:t>
      </w:r>
    </w:p>
    <w:p>
      <w:r>
        <w:rPr>
          <w:rFonts w:ascii="Times New Roman" w:hAnsi="Times New Roman" w:eastAsia="宋体"/>
          <w:sz w:val="24"/>
        </w:rPr>
        <w:t>建模技术栈覆盖从经典统计方法到前沿AI算法。逻辑回归因监管接受度高，仍是多数正式投产模型的基础架构</w:t>
      </w:r>
      <w:hyperlink r:id="rId10">
        <w:r>
          <w:rPr>
            <w:rFonts w:ascii="Times New Roman" w:hAnsi="Times New Roman" w:eastAsia="宋体"/>
            <w:color w:val="0066CC"/>
            <w:sz w:val="24"/>
            <w:u w:val="single"/>
            <w:vertAlign w:val="superscript"/>
          </w:rPr>
          <w:t>1</w:t>
        </w:r>
      </w:hyperlink>
      <w:r>
        <w:rPr>
          <w:rFonts w:ascii="Times New Roman" w:hAnsi="Times New Roman" w:eastAsia="宋体"/>
          <w:sz w:val="24"/>
        </w:rPr>
        <w:t>。树模型如XGBoost、LightGBM则用于捕捉特征间的非线性交互，在欺诈检测、行为评分等场景中表现优异</w:t>
      </w:r>
      <w:hyperlink r:id="rId11">
        <w:r>
          <w:rPr>
            <w:rFonts w:ascii="Times New Roman" w:hAnsi="Times New Roman" w:eastAsia="宋体"/>
            <w:color w:val="0066CC"/>
            <w:sz w:val="24"/>
            <w:u w:val="single"/>
            <w:vertAlign w:val="superscript"/>
          </w:rPr>
          <w:t>2</w:t>
        </w:r>
      </w:hyperlink>
      <w:r>
        <w:rPr>
          <w:rFonts w:ascii="Times New Roman" w:hAnsi="Times New Roman" w:eastAsia="宋体"/>
          <w:sz w:val="24"/>
        </w:rPr>
        <w:t>。</w:t>
      </w:r>
    </w:p>
    <w:p>
      <w:r>
        <w:rPr>
          <w:rFonts w:ascii="Times New Roman" w:hAnsi="Times New Roman" w:eastAsia="宋体"/>
          <w:sz w:val="24"/>
        </w:rPr>
        <w:t>针对团伙欺诈识别，图神经网络（GNN）可挖掘用户间隐含关联，发现资金归集、设备共用等异常模式。而在小样本建模难题上，联邦学习技术允许在不共享原始数据的前提下联合多方建模，实现“数据可用不可见”，已被腾讯云隐语、微众银行FATE等平台支持。</w:t>
      </w:r>
    </w:p>
    <w:p>
      <w:pPr>
        <w:spacing w:before="200" w:after="120"/>
        <w:ind w:firstLine="0"/>
      </w:pPr>
      <w:r>
        <w:rPr>
          <w:rFonts w:ascii="Arial" w:hAnsi="Arial" w:eastAsia="黑体"/>
          <w:b/>
          <w:color w:val="000000"/>
          <w:sz w:val="28"/>
        </w:rPr>
        <w:t>（三）实时计算与大数据平台</w:t>
      </w:r>
    </w:p>
    <w:p>
      <w:r>
        <w:rPr>
          <w:rFonts w:ascii="Times New Roman" w:hAnsi="Times New Roman" w:eastAsia="宋体"/>
          <w:sz w:val="24"/>
        </w:rPr>
        <w:t>为满足毫秒级风控响应需求，底层依赖强大的实时计算架构。Apache Flink用于滑动窗口计算（如近1小时交易频次），结合Kafka作为高吞吐消息队列保障数据不丢失。Spark则承担离线批处理任务，如每日全量特征生成与模型重训练。</w:t>
      </w:r>
    </w:p>
    <w:p>
      <w:r>
        <w:rPr>
          <w:rFonts w:ascii="Times New Roman" w:hAnsi="Times New Roman" w:eastAsia="宋体"/>
          <w:sz w:val="24"/>
        </w:rPr>
        <w:t>ClickHouse支持亚秒级OLAP查询，适用于存储并检索实时风控特征；Redis作为内存缓存层，加速对高频访问字段（如最近一次登录IP）的读取速度，降低系统延迟。</w:t>
      </w:r>
    </w:p>
    <w:p>
      <w:pPr>
        <w:spacing w:before="200" w:after="120"/>
        <w:ind w:firstLine="0"/>
      </w:pPr>
      <w:r>
        <w:rPr>
          <w:rFonts w:ascii="Arial" w:hAnsi="Arial" w:eastAsia="黑体"/>
          <w:b/>
          <w:color w:val="000000"/>
          <w:sz w:val="28"/>
        </w:rPr>
        <w:t>（四）数据可视化与BI平台</w:t>
      </w:r>
    </w:p>
    <w:p>
      <w:r>
        <w:rPr>
          <w:rFonts w:ascii="Times New Roman" w:hAnsi="Times New Roman" w:eastAsia="宋体"/>
          <w:sz w:val="24"/>
        </w:rPr>
        <w:t>可视化工具将抽象数据转化为直观洞察。Tableau以其强大的交互设计能力，广泛用于制作高管驾驶舱；FineBI与观远数据则更适合国内企业本地化部署，支持自然语言提问与智能图表生成</w:t>
      </w:r>
      <w:hyperlink r:id="rId12">
        <w:r>
          <w:rPr>
            <w:rFonts w:ascii="Times New Roman" w:hAnsi="Times New Roman" w:eastAsia="宋体"/>
            <w:color w:val="0066CC"/>
            <w:sz w:val="24"/>
            <w:u w:val="single"/>
            <w:vertAlign w:val="superscript"/>
          </w:rPr>
          <w:t>3</w:t>
        </w:r>
      </w:hyperlink>
      <w:r>
        <w:rPr>
          <w:rFonts w:ascii="Times New Roman" w:hAnsi="Times New Roman" w:eastAsia="宋体"/>
          <w:sz w:val="24"/>
        </w:rPr>
        <w:t>。</w:t>
      </w:r>
    </w:p>
    <w:p>
      <w:r>
        <w:rPr>
          <w:rFonts w:ascii="Times New Roman" w:hAnsi="Times New Roman" w:eastAsia="宋体"/>
          <w:sz w:val="24"/>
        </w:rPr>
        <w:t>Wind金融终端提供宏观经济与市场行情数据接入，便于分析师结合外部环境解读内部风险走势。部分先进机构已试点AI Agent平台（如网易知数），实现“口语提问→自动生成分析报告”的智能化跃迁。</w:t>
      </w:r>
    </w:p>
    <w:p>
      <w:pPr>
        <w:spacing w:before="200" w:after="120"/>
        <w:ind w:firstLine="0"/>
      </w:pPr>
      <w:r>
        <w:rPr>
          <w:rFonts w:ascii="Arial" w:hAnsi="Arial" w:eastAsia="黑体"/>
          <w:b/>
          <w:color w:val="000000"/>
          <w:sz w:val="28"/>
        </w:rPr>
        <w:t>（五）数据治理与ETL工具</w:t>
      </w:r>
    </w:p>
    <w:p>
      <w:r>
        <w:rPr>
          <w:rFonts w:ascii="Times New Roman" w:hAnsi="Times New Roman" w:eastAsia="宋体"/>
          <w:sz w:val="24"/>
        </w:rPr>
        <w:t>数据集成与治理是保障数据一致性的基石。FineDataLink与Informatica PowerCenter作为企业级ETL工具，支持低代码方式构建数据管道，实现跨系统数据同步与清洗</w:t>
      </w:r>
      <w:hyperlink r:id="rId13">
        <w:r>
          <w:rPr>
            <w:rFonts w:ascii="Times New Roman" w:hAnsi="Times New Roman" w:eastAsia="宋体"/>
            <w:color w:val="0066CC"/>
            <w:sz w:val="24"/>
            <w:u w:val="single"/>
            <w:vertAlign w:val="superscript"/>
          </w:rPr>
          <w:t>4</w:t>
        </w:r>
      </w:hyperlink>
      <w:r>
        <w:rPr>
          <w:rFonts w:ascii="Times New Roman" w:hAnsi="Times New Roman" w:eastAsia="宋体"/>
          <w:sz w:val="24"/>
        </w:rPr>
        <w:t>。Talend作为开源替代方案，在中小金融机构中也有一定应用。</w:t>
      </w:r>
    </w:p>
    <w:p>
      <w:r>
        <w:rPr>
          <w:rFonts w:ascii="Times New Roman" w:hAnsi="Times New Roman" w:eastAsia="宋体"/>
          <w:sz w:val="24"/>
        </w:rPr>
        <w:t>国产化趋势下，QiviData等兼容SAS语法的本土软件正逐步替代进口商业套件，助力实现核心技术自主可控。</w:t>
      </w:r>
    </w:p>
    <w:p>
      <w:pPr>
        <w:spacing w:before="200" w:after="120"/>
        <w:ind w:firstLine="0"/>
      </w:pPr>
      <w:r>
        <w:rPr>
          <w:rFonts w:ascii="Arial" w:hAnsi="Arial" w:eastAsia="黑体"/>
          <w:b/>
          <w:color w:val="000000"/>
          <w:sz w:val="28"/>
        </w:rPr>
        <w:t>（六）模型部署与监控技术</w:t>
      </w:r>
    </w:p>
    <w:p>
      <w:r>
        <w:rPr>
          <w:rFonts w:ascii="Times New Roman" w:hAnsi="Times New Roman" w:eastAsia="宋体"/>
          <w:sz w:val="24"/>
        </w:rPr>
        <w:t>模型上线后需持续监控其运行状态。TensorFlow Serving或MLflow用于将训练好的模型封装为REST API，供决策引擎调用</w:t>
      </w:r>
      <w:hyperlink r:id="rId11">
        <w:r>
          <w:rPr>
            <w:rFonts w:ascii="Times New Roman" w:hAnsi="Times New Roman" w:eastAsia="宋体"/>
            <w:color w:val="0066CC"/>
            <w:sz w:val="24"/>
            <w:u w:val="single"/>
            <w:vertAlign w:val="superscript"/>
          </w:rPr>
          <w:t>2</w:t>
        </w:r>
      </w:hyperlink>
      <w:r>
        <w:rPr>
          <w:rFonts w:ascii="Times New Roman" w:hAnsi="Times New Roman" w:eastAsia="宋体"/>
          <w:sz w:val="24"/>
        </w:rPr>
        <w:t>。Flask/Django框架也可用于轻量级服务构建。</w:t>
      </w:r>
    </w:p>
    <w:p>
      <w:r>
        <w:rPr>
          <w:rFonts w:ascii="Times New Roman" w:hAnsi="Times New Roman" w:eastAsia="宋体"/>
          <w:sz w:val="24"/>
        </w:rPr>
        <w:t>Prometheus采集推理延迟、QPS、AUC下降等指标，配合Grafana实现可视化监控看板。一旦检测到性能衰减，自动触发告警通知。SHAP与LIME等可解释性工具则用于生成单笔决策的理由摘要，满足监管透明性要求。</w:t>
      </w:r>
    </w:p>
    <w:p>
      <w:pPr>
        <w:spacing w:before="240" w:after="120"/>
        <w:ind w:firstLine="0"/>
      </w:pPr>
      <w:r>
        <w:rPr>
          <w:rFonts w:ascii="Arial" w:hAnsi="Arial" w:eastAsia="黑体"/>
          <w:b/>
          <w:color w:val="000000"/>
          <w:sz w:val="32"/>
        </w:rPr>
        <w:t>四、面临的核心挑战及应对策略</w:t>
      </w:r>
    </w:p>
    <w:p>
      <w:pPr>
        <w:spacing w:before="200" w:after="120"/>
        <w:ind w:firstLine="0"/>
      </w:pPr>
      <w:r>
        <w:rPr>
          <w:rFonts w:ascii="Arial" w:hAnsi="Arial" w:eastAsia="黑体"/>
          <w:b/>
          <w:color w:val="000000"/>
          <w:sz w:val="28"/>
        </w:rPr>
        <w:t>（一）数据质量与整合挑战</w:t>
      </w:r>
    </w:p>
    <w:p>
      <w:r>
        <w:rPr>
          <w:rFonts w:ascii="Times New Roman" w:hAnsi="Times New Roman" w:eastAsia="宋体"/>
          <w:sz w:val="24"/>
        </w:rPr>
        <w:t>数据质量问题长期困扰风控分析工作，表现为字段缺失、口径不一、系统割裂等。例如，同一客户在不同业务系统的身份证号格式不统一，导致无法准确关联行为轨迹。</w:t>
      </w:r>
    </w:p>
    <w:p>
      <w:r>
        <w:rPr>
          <w:rFonts w:ascii="Times New Roman" w:hAnsi="Times New Roman" w:eastAsia="宋体"/>
          <w:sz w:val="24"/>
        </w:rPr>
        <w:t>对此，应建立数据质量监控体系，部署自动化看板实时报警缺失率与异常值。同时推动企业级数据中台建设，统一主数据标准与接口规范，打破部门间信息壁垒。对于外部数据获取难的问题，可通过第三方平台采购政务、税务等合规数据源，拓展风险识别维度。</w:t>
      </w:r>
    </w:p>
    <w:p>
      <w:pPr>
        <w:spacing w:before="200" w:after="120"/>
        <w:ind w:firstLine="0"/>
      </w:pPr>
      <w:r>
        <w:rPr>
          <w:rFonts w:ascii="Arial" w:hAnsi="Arial" w:eastAsia="黑体"/>
          <w:b/>
          <w:color w:val="000000"/>
          <w:sz w:val="28"/>
        </w:rPr>
        <w:t>（二）模型开发与风险管理挑战</w:t>
      </w:r>
    </w:p>
    <w:p>
      <w:r>
        <w:rPr>
          <w:rFonts w:ascii="Times New Roman" w:hAnsi="Times New Roman" w:eastAsia="宋体"/>
          <w:sz w:val="24"/>
        </w:rPr>
        <w:t>传统建模流程耗时较长，难以应对快速演变的黑灰产攻击手段。例如，AIGC技术已被用于模拟真人填写资料、生成虚假收入证明，导致传统规则与模型失效。</w:t>
      </w:r>
    </w:p>
    <w:p>
      <w:r>
        <w:rPr>
          <w:rFonts w:ascii="Times New Roman" w:hAnsi="Times New Roman" w:eastAsia="宋体"/>
          <w:sz w:val="24"/>
        </w:rPr>
        <w:t>解决方案包括推行自动化建模流水线，将特征工程、模型训练、评估发布流程标准化，将迭代周期从两周压缩至两天内。同时引入金融大模型，通过少量提示即可生成定制化反欺诈策略。构建“动态模型+动态策略”双重对抗体系，提升整体防御韧性。</w:t>
      </w:r>
    </w:p>
    <w:p>
      <w:pPr>
        <w:spacing w:before="200" w:after="120"/>
        <w:ind w:firstLine="0"/>
      </w:pPr>
      <w:r>
        <w:rPr>
          <w:rFonts w:ascii="Arial" w:hAnsi="Arial" w:eastAsia="黑体"/>
          <w:b/>
          <w:color w:val="000000"/>
          <w:sz w:val="28"/>
        </w:rPr>
        <w:t>（三）跨部门协作与组织协同挑战</w:t>
      </w:r>
    </w:p>
    <w:p>
      <w:r>
        <w:rPr>
          <w:rFonts w:ascii="Times New Roman" w:hAnsi="Times New Roman" w:eastAsia="宋体"/>
          <w:sz w:val="24"/>
        </w:rPr>
        <w:t>风控与业务发展目标常存在冲突。例如，风控建议收紧某高增长渠道的准入标准，但销售团队担忧影响业绩达成，导致策略落地受阻。</w:t>
      </w:r>
    </w:p>
    <w:p>
      <w:r>
        <w:rPr>
          <w:rFonts w:ascii="Times New Roman" w:hAnsi="Times New Roman" w:eastAsia="宋体"/>
          <w:sz w:val="24"/>
        </w:rPr>
        <w:t>为此，建议设立高层级风险管理委员会，统筹战略平衡；简化审批链条，推行敏捷小队模式，提升响应效率。同时加强数据文化建设，通过“数据联席会”机制促进共识形成，推动风控理念融入前端业务流程。</w:t>
      </w:r>
    </w:p>
    <w:p>
      <w:pPr>
        <w:spacing w:before="200" w:after="120"/>
        <w:ind w:firstLine="0"/>
      </w:pPr>
      <w:r>
        <w:rPr>
          <w:rFonts w:ascii="Arial" w:hAnsi="Arial" w:eastAsia="黑体"/>
          <w:b/>
          <w:color w:val="000000"/>
          <w:sz w:val="28"/>
        </w:rPr>
        <w:t>（四）法规合规与政策环境挑战</w:t>
      </w:r>
    </w:p>
    <w:p>
      <w:r>
        <w:rPr>
          <w:rFonts w:ascii="Times New Roman" w:hAnsi="Times New Roman" w:eastAsia="宋体"/>
          <w:sz w:val="24"/>
        </w:rPr>
        <w:t>监管政策频繁变动带来巨大适应压力。例如，《个人信息保护法》实施后，原有依赖大量用户授权数据的建模方式面临重构。</w:t>
      </w:r>
    </w:p>
    <w:p>
      <w:r>
        <w:rPr>
          <w:rFonts w:ascii="Times New Roman" w:hAnsi="Times New Roman" w:eastAsia="宋体"/>
          <w:sz w:val="24"/>
        </w:rPr>
        <w:t>应对策略包括建设动态合规系统，实时映射监管条款至内部流程；采用差分隐私、同态加密、联邦学习等隐私计算技术，在保障数据安全的前提下维持模型有效性。同时建立跨境合规中心，统一管理跨国数据流动，防范法律风险。</w:t>
      </w:r>
    </w:p>
    <w:p>
      <w:pPr>
        <w:spacing w:before="200" w:after="120"/>
        <w:ind w:firstLine="0"/>
      </w:pPr>
      <w:r>
        <w:rPr>
          <w:rFonts w:ascii="Arial" w:hAnsi="Arial" w:eastAsia="黑体"/>
          <w:b/>
          <w:color w:val="000000"/>
          <w:sz w:val="28"/>
        </w:rPr>
        <w:t>（五）技术架构与资源投入挑战</w:t>
      </w:r>
    </w:p>
    <w:p>
      <w:r>
        <w:rPr>
          <w:rFonts w:ascii="Times New Roman" w:hAnsi="Times New Roman" w:eastAsia="宋体"/>
          <w:sz w:val="24"/>
        </w:rPr>
        <w:t>系统异构与算力不足制约技术创新。例如，核心系统仍为T+1批处理架构，而大数据平台已支持实时流计算，两者难以无缝衔接。</w:t>
      </w:r>
    </w:p>
    <w:p>
      <w:r>
        <w:rPr>
          <w:rFonts w:ascii="Times New Roman" w:hAnsi="Times New Roman" w:eastAsia="宋体"/>
          <w:sz w:val="24"/>
        </w:rPr>
        <w:t>建议采用微服务架构解耦系统模块，通过Kafka实现异步通信。利用云原生弹性伸缩能力应对峰值负载，降低固定成本支出。针对复合型人才短缺问题，实施“导师制+项目制”培养机制，加速新人成长，打造可持续的人才梯队。</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Arial" w:hAnsi="Arial" w:eastAsia="黑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outlineLvl w:val="5"/>
    </w:pPr>
    <w:rPr>
      <w:rFonts w:asciiTheme="majorHAnsi" w:eastAsiaTheme="majorEastAsia" w:hAnsiTheme="majorHAnsi" w:cstheme="majorBidi" w:ascii="Arial" w:hAnsi="Arial" w:eastAsia="黑体"/>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pPr>
    <w:rPr>
      <w:rFonts w:ascii="Consolas" w:hAnsi="Consolas" w:eastAsia="仿宋"/>
      <w:sz w:val="20"/>
    </w:rPr>
  </w:style>
  <w:style w:type="paragraph" w:customStyle="1" w:styleId="BlockQuote">
    <w:name w:val="Block Quote"/>
    <w:pPr>
      <w:spacing w:before="120" w:after="120"/>
      <w:ind w:left="720"/>
    </w:pPr>
    <w:rPr>
      <w:rFonts w:ascii="Times New Roman" w:hAnsi="Times New Roman" w:eastAsia="宋体"/>
      <w:i/>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blog.csdn.net/qq_21886255/article/details/150222469" TargetMode="External"/><Relationship Id="rId11" Type="http://schemas.openxmlformats.org/officeDocument/2006/relationships/hyperlink" Target="https://blog.csdn.net/2502_91678797/article/details/150665659" TargetMode="External"/><Relationship Id="rId12" Type="http://schemas.openxmlformats.org/officeDocument/2006/relationships/hyperlink" Target="https://www.guandata.com/gy/post/6jbuKhSF.html" TargetMode="External"/><Relationship Id="rId13" Type="http://schemas.openxmlformats.org/officeDocument/2006/relationships/hyperlink" Target="https://www.fanruan.com/finepedia/article/690de19af7a2e712975bc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