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pPr>
    </w:p>
    <w:p>
      <w:pPr>
        <w:spacing w:after="240"/>
        <w:jc w:val="center"/>
      </w:pPr>
      <w:r>
        <w:rPr>
          <w:rFonts w:ascii="宋体" w:hAnsi="宋体" w:eastAsia="宋体"/>
          <w:b/>
          <w:sz w:val="44"/>
        </w:rPr>
        <w:t>西 南 交 通 大 学</w:t>
      </w:r>
    </w:p>
    <w:p>
      <w:pPr>
        <w:spacing w:after="480"/>
        <w:jc w:val="center"/>
      </w:pPr>
      <w:r>
        <w:rPr>
          <w:rFonts w:ascii="黑体" w:hAnsi="黑体" w:eastAsia="黑体"/>
          <w:b/>
          <w:sz w:val="44"/>
        </w:rPr>
        <w:t>硕士研究生论文中期考核报告</w:t>
      </w:r>
    </w:p>
    <w:p>
      <w:pPr>
        <w:spacing w:after="0" w:line="360" w:lineRule="auto"/>
      </w:pPr>
    </w:p>
    <w:p>
      <w:pPr>
        <w:spacing w:after="0" w:line="360" w:lineRule="auto"/>
      </w:pPr>
    </w:p>
    <w:tbl>
      <w:tblPr>
        <w:tblStyle w:val="TableGrid"/>
        <w:tblW w:type="auto" w:w="0"/>
        <w:jc w:val="center"/>
        <w:tblLayout w:type="fixed"/>
        <w:tblLook w:firstColumn="1" w:firstRow="1" w:lastColumn="0" w:lastRow="0" w:noHBand="0" w:noVBand="1" w:val="04A0"/>
      </w:tblPr>
      <w:tblGrid>
        <w:gridCol w:w="4156"/>
        <w:gridCol w:w="4156"/>
      </w:tblGrid>
      <w:tr>
        <w:tc>
          <w:tcPr>
            <w:tcW w:type="dxa" w:w="1984"/>
          </w:tcPr>
          <w:p>
            <w:pPr>
              <w:jc w:val="center"/>
            </w:pPr>
            <w:r>
              <w:rPr>
                <w:rFonts w:ascii="宋体" w:hAnsi="宋体" w:eastAsia="宋体"/>
                <w:b w:val="0"/>
                <w:sz w:val="24"/>
              </w:rPr>
              <w:t>姓    名</w:t>
            </w:r>
          </w:p>
        </w:tc>
        <w:tc>
          <w:tcPr>
            <w:tcW w:type="dxa" w:w="5669"/>
          </w:tcPr>
          <w:p>
            <w:pPr>
              <w:jc w:val="center"/>
            </w:pPr>
          </w:p>
        </w:tc>
      </w:tr>
      <w:tr>
        <w:tc>
          <w:tcPr>
            <w:tcW w:type="dxa" w:w="1984"/>
          </w:tcPr>
          <w:p>
            <w:pPr>
              <w:jc w:val="center"/>
            </w:pPr>
            <w:r>
              <w:rPr>
                <w:rFonts w:ascii="宋体" w:hAnsi="宋体" w:eastAsia="宋体"/>
                <w:b w:val="0"/>
                <w:sz w:val="24"/>
              </w:rPr>
              <w:t>学    号</w:t>
            </w:r>
          </w:p>
        </w:tc>
        <w:tc>
          <w:tcPr>
            <w:tcW w:type="dxa" w:w="5669"/>
          </w:tcPr>
          <w:p>
            <w:pPr>
              <w:jc w:val="center"/>
            </w:pPr>
          </w:p>
        </w:tc>
      </w:tr>
      <w:tr>
        <w:tc>
          <w:tcPr>
            <w:tcW w:type="dxa" w:w="1984"/>
          </w:tcPr>
          <w:p>
            <w:pPr>
              <w:jc w:val="center"/>
            </w:pPr>
            <w:r>
              <w:rPr>
                <w:rFonts w:ascii="宋体" w:hAnsi="宋体" w:eastAsia="宋体"/>
                <w:b w:val="0"/>
                <w:sz w:val="24"/>
              </w:rPr>
              <w:t>专    业</w:t>
            </w:r>
          </w:p>
        </w:tc>
        <w:tc>
          <w:tcPr>
            <w:tcW w:type="dxa" w:w="5669"/>
          </w:tcPr>
          <w:p>
            <w:pPr>
              <w:jc w:val="center"/>
            </w:pPr>
          </w:p>
        </w:tc>
      </w:tr>
      <w:tr>
        <w:tc>
          <w:tcPr>
            <w:tcW w:type="dxa" w:w="1984"/>
          </w:tcPr>
          <w:p>
            <w:pPr>
              <w:jc w:val="center"/>
            </w:pPr>
            <w:r>
              <w:rPr>
                <w:rFonts w:ascii="宋体" w:hAnsi="宋体" w:eastAsia="宋体"/>
                <w:b w:val="0"/>
                <w:sz w:val="24"/>
              </w:rPr>
              <w:t>导    师</w:t>
            </w:r>
          </w:p>
        </w:tc>
        <w:tc>
          <w:tcPr>
            <w:tcW w:type="dxa" w:w="5669"/>
          </w:tcPr>
          <w:p>
            <w:pPr>
              <w:jc w:val="center"/>
            </w:pPr>
          </w:p>
        </w:tc>
      </w:tr>
      <w:tr>
        <w:tc>
          <w:tcPr>
            <w:tcW w:type="dxa" w:w="1984"/>
          </w:tcPr>
          <w:p>
            <w:pPr>
              <w:jc w:val="center"/>
            </w:pPr>
            <w:r>
              <w:rPr>
                <w:rFonts w:ascii="宋体" w:hAnsi="宋体" w:eastAsia="宋体"/>
                <w:b w:val="0"/>
                <w:sz w:val="24"/>
              </w:rPr>
              <w:t>学    院</w:t>
            </w:r>
          </w:p>
        </w:tc>
        <w:tc>
          <w:tcPr>
            <w:tcW w:type="dxa" w:w="5669"/>
          </w:tcPr>
          <w:p>
            <w:pPr>
              <w:jc w:val="center"/>
            </w:pPr>
          </w:p>
        </w:tc>
      </w:tr>
      <w:tr>
        <w:tc>
          <w:tcPr>
            <w:tcW w:type="dxa" w:w="1984"/>
          </w:tcPr>
          <w:p>
            <w:pPr>
              <w:jc w:val="center"/>
            </w:pPr>
            <w:r>
              <w:rPr>
                <w:rFonts w:ascii="宋体" w:hAnsi="宋体" w:eastAsia="宋体"/>
                <w:b w:val="0"/>
                <w:sz w:val="24"/>
              </w:rPr>
              <w:t>研究方向</w:t>
            </w:r>
          </w:p>
        </w:tc>
        <w:tc>
          <w:tcPr>
            <w:tcW w:type="dxa" w:w="5669"/>
          </w:tcPr>
          <w:p>
            <w:pPr>
              <w:jc w:val="center"/>
            </w:pPr>
          </w:p>
        </w:tc>
      </w:tr>
      <w:tr>
        <w:tc>
          <w:tcPr>
            <w:tcW w:type="dxa" w:w="1984"/>
          </w:tcPr>
          <w:p>
            <w:pPr>
              <w:jc w:val="center"/>
            </w:pPr>
            <w:r>
              <w:rPr>
                <w:rFonts w:ascii="宋体" w:hAnsi="宋体" w:eastAsia="宋体"/>
                <w:b w:val="0"/>
                <w:sz w:val="24"/>
              </w:rPr>
              <w:t>论文题目</w:t>
            </w:r>
          </w:p>
        </w:tc>
        <w:tc>
          <w:tcPr>
            <w:tcW w:type="dxa" w:w="5669"/>
          </w:tcPr>
          <w:p>
            <w:pPr>
              <w:jc w:val="center"/>
            </w:pPr>
          </w:p>
        </w:tc>
      </w:tr>
      <w:tr>
        <w:tc>
          <w:tcPr>
            <w:tcW w:type="dxa" w:w="1984"/>
          </w:tcPr>
          <w:p>
            <w:pPr>
              <w:jc w:val="center"/>
            </w:pPr>
            <w:r>
              <w:rPr>
                <w:rFonts w:ascii="宋体" w:hAnsi="宋体" w:eastAsia="宋体"/>
                <w:b w:val="0"/>
                <w:sz w:val="24"/>
              </w:rPr>
              <w:t>开题报告日期</w:t>
            </w:r>
          </w:p>
        </w:tc>
        <w:tc>
          <w:tcPr>
            <w:tcW w:type="dxa" w:w="5669"/>
          </w:tcPr>
          <w:p>
            <w:pPr>
              <w:jc w:val="center"/>
            </w:pPr>
          </w:p>
        </w:tc>
      </w:tr>
      <w:tr>
        <w:tc>
          <w:tcPr>
            <w:tcW w:type="dxa" w:w="1984"/>
          </w:tcPr>
          <w:p>
            <w:pPr>
              <w:jc w:val="center"/>
            </w:pPr>
            <w:r>
              <w:rPr>
                <w:rFonts w:ascii="宋体" w:hAnsi="宋体" w:eastAsia="宋体"/>
                <w:b w:val="0"/>
                <w:sz w:val="24"/>
              </w:rPr>
              <w:t>论文中期考核    □ 第一次    □ 第二次</w:t>
            </w:r>
          </w:p>
        </w:tc>
        <w:tc>
          <w:tcPr>
            <w:tcW w:type="dxa" w:w="5669"/>
          </w:tcPr>
          <w:p>
            <w:pPr>
              <w:jc w:val="center"/>
            </w:pPr>
          </w:p>
        </w:tc>
      </w:tr>
    </w:tbl>
    <w:p>
      <w:pPr>
        <w:spacing w:after="0" w:line="360" w:lineRule="auto"/>
      </w:pPr>
    </w:p>
    <w:p>
      <w:pPr>
        <w:spacing w:after="0" w:line="360" w:lineRule="auto"/>
      </w:pPr>
    </w:p>
    <w:p>
      <w:pPr>
        <w:spacing w:after="0" w:line="360" w:lineRule="auto"/>
      </w:pPr>
    </w:p>
    <w:p>
      <w:pPr>
        <w:spacing w:line="360" w:lineRule="auto" w:after="120" w:before="0"/>
        <w:ind w:firstLine="0"/>
        <w:jc w:val="center"/>
      </w:pPr>
      <w:r>
        <w:rPr>
          <w:rFonts w:ascii="宋体" w:hAnsi="宋体" w:eastAsia="宋体"/>
          <w:b w:val="0"/>
          <w:sz w:val="24"/>
        </w:rPr>
        <w:t xml:space="preserve">        年        月        日</w:t>
      </w:r>
    </w:p>
    <w:p>
      <w:pPr>
        <w:spacing w:after="0" w:line="360" w:lineRule="auto"/>
      </w:pPr>
    </w:p>
    <w:p>
      <w:pPr>
        <w:spacing w:after="0" w:line="360" w:lineRule="auto"/>
      </w:pPr>
    </w:p>
    <w:p>
      <w:pPr>
        <w:spacing w:line="360" w:lineRule="auto" w:after="120" w:before="0"/>
        <w:ind w:firstLine="0"/>
        <w:jc w:val="center"/>
      </w:pPr>
      <w:r>
        <w:rPr>
          <w:rFonts w:ascii="宋体" w:hAnsi="宋体" w:eastAsia="宋体"/>
          <w:b w:val="0"/>
          <w:sz w:val="24"/>
        </w:rPr>
        <w:t>研究生院制表</w:t>
      </w:r>
    </w:p>
    <w:p>
      <w:r>
        <w:br w:type="page"/>
      </w:r>
    </w:p>
    <w:p>
      <w:pPr>
        <w:spacing w:before="240" w:after="120"/>
      </w:pPr>
      <w:r>
        <w:rPr>
          <w:rFonts w:ascii="黑体" w:hAnsi="黑体" w:eastAsia="黑体"/>
          <w:b/>
          <w:sz w:val="28"/>
        </w:rPr>
        <w:t>填表说明</w:t>
      </w:r>
    </w:p>
    <w:p>
      <w:pPr>
        <w:spacing w:line="360" w:lineRule="auto" w:after="120" w:before="0"/>
        <w:ind w:firstLine="0"/>
        <w:jc w:val="left"/>
      </w:pPr>
      <w:r>
        <w:rPr>
          <w:rFonts w:ascii="宋体" w:hAnsi="宋体" w:eastAsia="宋体"/>
          <w:b w:val="0"/>
          <w:sz w:val="24"/>
        </w:rPr>
        <w:t>本表是硕士研究生论文工作中期考核用表。</w:t>
      </w:r>
    </w:p>
    <w:p>
      <w:pPr>
        <w:spacing w:line="360" w:lineRule="auto" w:after="120" w:before="0"/>
        <w:ind w:firstLine="0"/>
        <w:jc w:val="left"/>
      </w:pPr>
      <w:r>
        <w:rPr>
          <w:rFonts w:ascii="宋体" w:hAnsi="宋体" w:eastAsia="宋体"/>
          <w:b w:val="0"/>
          <w:sz w:val="24"/>
        </w:rPr>
        <w:t>硕士研究生应在第四学期结束前撰写论文中期考核报告，汇报培养计划完成情况以及学术科研和论文工作的阶段性成果。</w:t>
      </w:r>
    </w:p>
    <w:p>
      <w:pPr>
        <w:spacing w:line="360" w:lineRule="auto" w:after="120" w:before="0"/>
        <w:ind w:firstLine="0"/>
        <w:jc w:val="left"/>
      </w:pPr>
      <w:r>
        <w:rPr>
          <w:rFonts w:ascii="宋体" w:hAnsi="宋体" w:eastAsia="宋体"/>
          <w:b w:val="0"/>
          <w:sz w:val="24"/>
        </w:rPr>
        <w:t>“硕士研究生论文中期考核报告”经由导师签字同意后，将本表第一至第三项所在页面拍照制成PDF电子文档，上传研究生管理信息系统对应的模块中，纸质版交至学院。</w:t>
      </w:r>
    </w:p>
    <w:p>
      <w:pPr>
        <w:spacing w:line="360" w:lineRule="auto" w:after="120" w:before="0"/>
        <w:ind w:firstLine="0"/>
        <w:jc w:val="left"/>
      </w:pPr>
      <w:r>
        <w:rPr>
          <w:rFonts w:ascii="宋体" w:hAnsi="宋体" w:eastAsia="宋体"/>
          <w:b w:val="0"/>
          <w:sz w:val="24"/>
        </w:rPr>
        <w:t>由导师（组）负责召集至少3名相关学科具有硕士研究生指导资格的专家组成的专家组对学生报告进行答辩评审。中期考核结果按“通过”或“不通过”记载。</w:t>
      </w:r>
    </w:p>
    <w:p>
      <w:pPr>
        <w:spacing w:line="360" w:lineRule="auto" w:after="120" w:before="0"/>
        <w:ind w:firstLine="0"/>
        <w:jc w:val="left"/>
      </w:pPr>
      <w:r>
        <w:rPr>
          <w:rFonts w:ascii="宋体" w:hAnsi="宋体" w:eastAsia="宋体"/>
          <w:b w:val="0"/>
          <w:sz w:val="24"/>
        </w:rPr>
        <w:t>若首次论文中期考核不通过，硕士研究生应按照专家组意见进行整改后，可于下一学期再次进行中期考核。两次中期考核不通过者，由专家组作出“应予退学”处理建议报学校研究生院。</w:t>
      </w:r>
    </w:p>
    <w:p>
      <w:pPr>
        <w:spacing w:line="360" w:lineRule="auto" w:after="120" w:before="0"/>
        <w:ind w:firstLine="0"/>
        <w:jc w:val="left"/>
      </w:pPr>
      <w:r>
        <w:rPr>
          <w:rFonts w:ascii="宋体" w:hAnsi="宋体" w:eastAsia="宋体"/>
          <w:b w:val="0"/>
          <w:sz w:val="24"/>
        </w:rPr>
        <w:t>每年秋季学期，院校两级督导组将对存档资料进行抽查。</w:t>
      </w:r>
    </w:p>
    <w:p>
      <w:pPr>
        <w:spacing w:line="360" w:lineRule="auto" w:after="120" w:before="0"/>
        <w:ind w:firstLine="0"/>
        <w:jc w:val="left"/>
      </w:pPr>
      <w:r>
        <w:rPr>
          <w:rFonts w:ascii="宋体" w:hAnsi="宋体" w:eastAsia="宋体"/>
          <w:b w:val="0"/>
          <w:sz w:val="24"/>
        </w:rPr>
        <w:t>表格打印要求：A4纸双面打印。</w:t>
      </w:r>
    </w:p>
    <w:p>
      <w:pPr>
        <w:spacing w:before="240" w:after="120"/>
      </w:pPr>
      <w:r>
        <w:rPr>
          <w:rFonts w:ascii="黑体" w:hAnsi="黑体" w:eastAsia="黑体"/>
          <w:b/>
          <w:sz w:val="28"/>
        </w:rPr>
        <w:t>一、硕士研究生个人培养计划完成情况</w:t>
      </w:r>
    </w:p>
    <w:p>
      <w:pPr>
        <w:spacing w:line="360" w:lineRule="auto" w:after="120" w:before="0"/>
        <w:ind w:firstLine="0"/>
        <w:jc w:val="left"/>
      </w:pPr>
      <w:r>
        <w:rPr>
          <w:rFonts w:ascii="宋体" w:hAnsi="宋体" w:eastAsia="宋体"/>
          <w:b w:val="0"/>
          <w:sz w:val="24"/>
        </w:rPr>
        <w:t>（请研究生根据《研究生成绩单》填写个人培养计划的比对结果）</w:t>
      </w:r>
    </w:p>
    <w:tbl>
      <w:tblPr>
        <w:tblStyle w:val="TableGrid"/>
        <w:tblW w:type="auto" w:w="0"/>
        <w:jc w:val="center"/>
        <w:tblLayout w:type="fixed"/>
        <w:tblLook w:firstColumn="1" w:firstRow="1" w:lastColumn="0" w:lastRow="0" w:noHBand="0" w:noVBand="1" w:val="04A0"/>
      </w:tblPr>
      <w:tblGrid>
        <w:gridCol w:w="2771"/>
        <w:gridCol w:w="2771"/>
        <w:gridCol w:w="2771"/>
      </w:tblGrid>
      <w:tr>
        <w:tc>
          <w:tcPr>
            <w:tcW w:type="dxa" w:w="1701"/>
          </w:tcPr>
          <w:p>
            <w:pPr>
              <w:jc w:val="center"/>
            </w:pPr>
            <w:r>
              <w:rPr>
                <w:rFonts w:ascii="宋体" w:hAnsi="宋体" w:eastAsia="宋体"/>
                <w:b/>
                <w:sz w:val="24"/>
              </w:rPr>
              <w:t>个人培养计划</w:t>
            </w:r>
          </w:p>
        </w:tc>
        <w:tc>
          <w:tcPr>
            <w:tcW w:type="dxa" w:w="3118"/>
          </w:tcPr>
          <w:p>
            <w:pPr>
              <w:jc w:val="center"/>
            </w:pPr>
            <w:r>
              <w:rPr>
                <w:rFonts w:ascii="宋体" w:hAnsi="宋体" w:eastAsia="宋体"/>
                <w:b/>
                <w:sz w:val="24"/>
              </w:rPr>
              <w:t>计划学分</w:t>
            </w:r>
          </w:p>
        </w:tc>
        <w:tc>
          <w:tcPr>
            <w:tcW w:type="dxa" w:w="1984"/>
          </w:tcPr>
          <w:p>
            <w:pPr>
              <w:jc w:val="center"/>
            </w:pPr>
            <w:r>
              <w:rPr>
                <w:rFonts w:ascii="宋体" w:hAnsi="宋体" w:eastAsia="宋体"/>
                <w:b/>
                <w:sz w:val="24"/>
              </w:rPr>
              <w:t>完成学分</w:t>
            </w:r>
          </w:p>
        </w:tc>
      </w:tr>
      <w:tr>
        <w:tc>
          <w:tcPr>
            <w:tcW w:type="dxa" w:w="1701"/>
            <w:vMerge w:val="restart"/>
          </w:tcPr>
          <w:p>
            <w:pPr>
              <w:jc w:val="center"/>
            </w:pPr>
            <w:r>
              <w:rPr>
                <w:rFonts w:ascii="宋体" w:hAnsi="宋体" w:eastAsia="宋体"/>
                <w:b/>
                <w:sz w:val="24"/>
              </w:rPr>
              <w:t>课程学分</w:t>
            </w:r>
          </w:p>
        </w:tc>
        <w:tc>
          <w:tcPr>
            <w:tcW w:type="dxa" w:w="3118"/>
          </w:tcPr>
          <w:p>
            <w:pPr>
              <w:jc w:val="center"/>
            </w:pPr>
            <w:r>
              <w:rPr>
                <w:rFonts w:ascii="宋体" w:hAnsi="宋体" w:eastAsia="宋体"/>
                <w:b w:val="0"/>
                <w:sz w:val="24"/>
              </w:rPr>
              <w:t>政治课程</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基础类课程</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素养类课程</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交叉、前沿类课程</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专业基础类课程</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校企联合专业学位培养专项</w:t>
            </w:r>
          </w:p>
        </w:tc>
        <w:tc>
          <w:tcPr>
            <w:tcW w:type="dxa" w:w="1984"/>
          </w:tcPr>
          <w:p>
            <w:pPr>
              <w:jc w:val="center"/>
            </w:pPr>
          </w:p>
        </w:tc>
      </w:tr>
      <w:tr>
        <w:tc>
          <w:tcPr>
            <w:tcW w:type="dxa" w:w="1701"/>
            <w:vMerge w:val="restart"/>
          </w:tcPr>
          <w:p>
            <w:pPr>
              <w:jc w:val="center"/>
            </w:pPr>
            <w:r>
              <w:rPr>
                <w:rFonts w:ascii="宋体" w:hAnsi="宋体" w:eastAsia="宋体"/>
                <w:b/>
                <w:sz w:val="24"/>
              </w:rPr>
              <w:t>非课程学分</w:t>
            </w:r>
          </w:p>
        </w:tc>
        <w:tc>
          <w:tcPr>
            <w:tcW w:type="dxa" w:w="3118"/>
          </w:tcPr>
          <w:p>
            <w:pPr>
              <w:jc w:val="center"/>
            </w:pPr>
            <w:r>
              <w:rPr>
                <w:rFonts w:ascii="宋体" w:hAnsi="宋体" w:eastAsia="宋体"/>
                <w:b w:val="0"/>
                <w:sz w:val="24"/>
              </w:rPr>
              <w:t>科研育人</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学术活动</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课题组研讨活动</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文献阅读与评述</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创新创业与社会实践（专业学位）</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专业实践（专业学位）</w:t>
            </w:r>
          </w:p>
        </w:tc>
        <w:tc>
          <w:tcPr>
            <w:tcW w:type="dxa" w:w="1984"/>
          </w:tcPr>
          <w:p>
            <w:pPr>
              <w:jc w:val="center"/>
            </w:pPr>
          </w:p>
        </w:tc>
      </w:tr>
      <w:tr>
        <w:tc>
          <w:tcPr>
            <w:tcW w:type="dxa" w:w="1701"/>
            <w:vMerge/>
          </w:tcPr>
          <w:p>
            <w:pPr>
              <w:jc w:val="center"/>
            </w:pPr>
          </w:p>
        </w:tc>
        <w:tc>
          <w:tcPr>
            <w:tcW w:type="dxa" w:w="3118"/>
          </w:tcPr>
          <w:p>
            <w:pPr>
              <w:jc w:val="center"/>
            </w:pPr>
            <w:r>
              <w:rPr>
                <w:rFonts w:ascii="宋体" w:hAnsi="宋体" w:eastAsia="宋体"/>
                <w:b w:val="0"/>
                <w:sz w:val="24"/>
              </w:rPr>
              <w:t>开题报告</w:t>
            </w:r>
          </w:p>
        </w:tc>
        <w:tc>
          <w:tcPr>
            <w:tcW w:type="dxa" w:w="1984"/>
          </w:tcPr>
          <w:p>
            <w:pPr>
              <w:jc w:val="center"/>
            </w:pPr>
          </w:p>
        </w:tc>
      </w:tr>
      <w:tr>
        <w:tc>
          <w:tcPr>
            <w:tcW w:type="dxa" w:w="4819"/>
            <w:gridSpan w:val="2"/>
          </w:tcPr>
          <w:p>
            <w:pPr>
              <w:jc w:val="center"/>
            </w:pPr>
            <w:r>
              <w:rPr>
                <w:rFonts w:ascii="宋体" w:hAnsi="宋体" w:eastAsia="宋体"/>
                <w:b/>
                <w:sz w:val="24"/>
              </w:rPr>
              <w:t>总计</w:t>
            </w:r>
          </w:p>
        </w:tc>
        <w:tc>
          <w:tcPr>
            <w:tcW w:type="dxa" w:w="1984"/>
          </w:tcPr>
          <w:p>
            <w:pPr>
              <w:jc w:val="center"/>
            </w:pPr>
          </w:p>
        </w:tc>
      </w:tr>
    </w:tbl>
    <w:p>
      <w:pPr>
        <w:spacing w:line="360" w:lineRule="auto" w:after="120" w:before="0"/>
        <w:ind w:firstLine="0"/>
        <w:jc w:val="left"/>
      </w:pPr>
      <w:r>
        <w:rPr>
          <w:rFonts w:ascii="宋体" w:hAnsi="宋体" w:eastAsia="宋体"/>
          <w:b w:val="0"/>
          <w:sz w:val="21"/>
        </w:rPr>
        <w:t>备注：未完成的在“完成学分”栏填写“0”。</w:t>
      </w:r>
    </w:p>
    <w:p>
      <w:pPr>
        <w:spacing w:before="240" w:after="120"/>
      </w:pPr>
      <w:r>
        <w:rPr>
          <w:rFonts w:ascii="黑体" w:hAnsi="黑体" w:eastAsia="黑体"/>
          <w:b/>
          <w:sz w:val="28"/>
        </w:rPr>
        <w:t>二、硕士研究生论文工作阶段性总结</w:t>
      </w:r>
    </w:p>
    <w:p>
      <w:pPr>
        <w:spacing w:line="360" w:lineRule="auto" w:after="120" w:before="0"/>
        <w:ind w:firstLine="0"/>
        <w:jc w:val="left"/>
      </w:pPr>
      <w:r>
        <w:rPr>
          <w:rFonts w:ascii="宋体" w:hAnsi="宋体" w:eastAsia="宋体"/>
          <w:b w:val="0"/>
          <w:sz w:val="24"/>
        </w:rPr>
        <w:t>填写内容包括但不限于以下几点：</w:t>
      </w:r>
    </w:p>
    <w:p>
      <w:pPr>
        <w:spacing w:line="360" w:lineRule="auto" w:after="120" w:before="0"/>
        <w:ind w:firstLine="420"/>
        <w:jc w:val="left"/>
      </w:pPr>
      <w:r>
        <w:rPr>
          <w:rFonts w:ascii="宋体" w:hAnsi="宋体" w:eastAsia="宋体"/>
          <w:b w:val="0"/>
          <w:sz w:val="24"/>
        </w:rPr>
        <w:t>阐述论文工作的进展和取得的阶段性成果。</w:t>
      </w:r>
    </w:p>
    <w:p>
      <w:pPr>
        <w:spacing w:line="360" w:lineRule="auto" w:after="120" w:before="0"/>
        <w:ind w:firstLine="420"/>
        <w:jc w:val="left"/>
      </w:pPr>
      <w:r>
        <w:rPr>
          <w:rFonts w:ascii="宋体" w:hAnsi="宋体" w:eastAsia="宋体"/>
          <w:b w:val="0"/>
          <w:sz w:val="24"/>
        </w:rPr>
        <w:t>介绍论文发表的情况。</w:t>
      </w:r>
    </w:p>
    <w:p>
      <w:pPr>
        <w:spacing w:line="360" w:lineRule="auto" w:after="120" w:before="0"/>
        <w:ind w:firstLine="420"/>
        <w:jc w:val="left"/>
      </w:pPr>
      <w:r>
        <w:rPr>
          <w:rFonts w:ascii="宋体" w:hAnsi="宋体" w:eastAsia="宋体"/>
          <w:b w:val="0"/>
          <w:sz w:val="24"/>
        </w:rPr>
        <w:t>制定下一步研究计划及论文工作计划。</w:t>
      </w:r>
    </w:p>
    <w:p>
      <w:pPr>
        <w:spacing w:line="360" w:lineRule="auto" w:after="120" w:before="160"/>
        <w:ind w:firstLine="420"/>
        <w:jc w:val="left"/>
      </w:pPr>
      <w:r>
        <w:rPr>
          <w:rFonts w:ascii="宋体" w:hAnsi="宋体" w:eastAsia="宋体"/>
          <w:b/>
          <w:sz w:val="24"/>
        </w:rPr>
        <w:t>1 研究背景与问题</w:t>
      </w:r>
    </w:p>
    <w:p>
      <w:pPr>
        <w:spacing w:line="360" w:lineRule="auto" w:after="120" w:before="80"/>
        <w:ind w:firstLine="420"/>
        <w:jc w:val="left"/>
      </w:pPr>
      <w:r>
        <w:rPr>
          <w:rFonts w:ascii="宋体" w:hAnsi="宋体" w:eastAsia="宋体"/>
          <w:b/>
          <w:sz w:val="24"/>
        </w:rPr>
        <w:t>1.1 研究背景</w:t>
      </w:r>
    </w:p>
    <w:p>
      <w:pPr>
        <w:spacing w:line="360" w:lineRule="auto" w:after="120" w:before="0"/>
        <w:ind w:firstLine="420"/>
        <w:jc w:val="left"/>
      </w:pPr>
      <w:r>
        <w:rPr>
          <w:rFonts w:ascii="宋体" w:hAnsi="宋体" w:eastAsia="宋体"/>
          <w:b w:val="0"/>
          <w:sz w:val="24"/>
        </w:rPr>
        <w:t>软件缺陷是软件开发生命周期中不可避免的问题。Tassey 的研究指出，美国每年因软件测试基础设施不足所造成的经济损失高达数十亿美元 [1]。2022 年 CISQ 报告进一步量化，美国因低质量软件所造成的年度成本已超过 2 万亿美元。在此背景下，自动化程序修复（Automated Program Repair, APR）旨在通过自动生成补丁来降低人工调试成本，近年来受到学术界与工业界的广泛关注。</w:t>
      </w:r>
    </w:p>
    <w:p>
      <w:pPr>
        <w:spacing w:line="360" w:lineRule="auto" w:after="120" w:before="0"/>
        <w:ind w:firstLine="420"/>
        <w:jc w:val="left"/>
      </w:pPr>
      <w:r>
        <w:rPr>
          <w:rFonts w:ascii="宋体" w:hAnsi="宋体" w:eastAsia="宋体"/>
          <w:b w:val="0"/>
          <w:sz w:val="24"/>
        </w:rPr>
        <w:t>传统 APR 方法主要分为三类：</w:t>
      </w:r>
    </w:p>
    <w:p>
      <w:pPr>
        <w:spacing w:line="360" w:lineRule="auto" w:after="120" w:before="0"/>
        <w:ind w:firstLine="420"/>
        <w:jc w:val="left"/>
      </w:pPr>
      <w:r>
        <w:rPr>
          <w:rFonts w:ascii="宋体" w:hAnsi="宋体" w:eastAsia="宋体"/>
          <w:b w:val="0"/>
          <w:sz w:val="24"/>
        </w:rPr>
        <w:t>1.  基于生成-验证的方法：以 GenProg 为代表，利用遗传编程在代码空间搜索并通过测试套件验证补丁 [2]。</w:t>
      </w:r>
    </w:p>
    <w:p>
      <w:pPr>
        <w:spacing w:line="360" w:lineRule="auto" w:after="120" w:before="0"/>
        <w:ind w:firstLine="420"/>
        <w:jc w:val="left"/>
      </w:pPr>
      <w:r>
        <w:rPr>
          <w:rFonts w:ascii="宋体" w:hAnsi="宋体" w:eastAsia="宋体"/>
          <w:b w:val="0"/>
          <w:sz w:val="24"/>
        </w:rPr>
        <w:t>2.  基于语义分析与约束求解的方法：以 SemFix 为代表，将修复需求形式化为约束，通过符号执行与程序合成生成补丁 [3]。</w:t>
      </w:r>
    </w:p>
    <w:p>
      <w:pPr>
        <w:spacing w:line="360" w:lineRule="auto" w:after="120" w:before="0"/>
        <w:ind w:firstLine="420"/>
        <w:jc w:val="left"/>
      </w:pPr>
      <w:r>
        <w:rPr>
          <w:rFonts w:ascii="宋体" w:hAnsi="宋体" w:eastAsia="宋体"/>
          <w:b w:val="0"/>
          <w:sz w:val="24"/>
        </w:rPr>
        <w:t>3.  基于学习的方法：如 SequenceR，将修复建模为序列到序列学习问题，从大规模 bug-fix 提交中学习修复模式 [4]。</w:t>
      </w:r>
    </w:p>
    <w:p>
      <w:pPr>
        <w:spacing w:line="360" w:lineRule="auto" w:after="120" w:before="0"/>
        <w:ind w:firstLine="420"/>
        <w:jc w:val="left"/>
      </w:pPr>
      <w:r>
        <w:rPr>
          <w:rFonts w:ascii="宋体" w:hAnsi="宋体" w:eastAsia="宋体"/>
          <w:b w:val="0"/>
          <w:sz w:val="24"/>
        </w:rPr>
        <w:t>这些方法为 APR 奠定了基础，但在面对复杂、跨文件、需要深层语义理解的缺陷时，往往受限于补丁多样性不足、对测试用例过拟合以及难以扩展到大规模真实代码库等问题 [5]。</w:t>
      </w:r>
    </w:p>
    <w:p>
      <w:pPr>
        <w:spacing w:line="360" w:lineRule="auto" w:after="120" w:before="80"/>
        <w:ind w:firstLine="420"/>
        <w:jc w:val="left"/>
      </w:pPr>
      <w:r>
        <w:rPr>
          <w:rFonts w:ascii="宋体" w:hAnsi="宋体" w:eastAsia="宋体"/>
          <w:b/>
          <w:sz w:val="24"/>
        </w:rPr>
        <w:t>1.2 大语言模型时代的 APR 与新挑战</w:t>
      </w:r>
    </w:p>
    <w:p>
      <w:pPr>
        <w:spacing w:line="360" w:lineRule="auto" w:after="120" w:before="0"/>
        <w:ind w:firstLine="420"/>
        <w:jc w:val="left"/>
      </w:pPr>
      <w:r>
        <w:rPr>
          <w:rFonts w:ascii="宋体" w:hAnsi="宋体" w:eastAsia="宋体"/>
          <w:b w:val="0"/>
          <w:sz w:val="24"/>
        </w:rPr>
        <w:t>近年来，大语言模型（Large Language Models, LLMs）在代码理解与生成方面展现出强大能力，为 APR 带来了新的机遇。Xia 等人提出的 ChatRepair 通过多轮对话机制，在 QuixBugs 等数据集上实现了较高的修复成功率 [6]。Yang 等人对 62 个近期 LLM-based APR 系统进行了系统综述，将其归纳为提示工程、微调、流程化流水线与智能体框架四种范式，并指出智能体化（agentic）方法正成为重要趋势 [7]。</w:t>
      </w:r>
    </w:p>
    <w:p>
      <w:pPr>
        <w:spacing w:line="360" w:lineRule="auto" w:after="120" w:before="0"/>
        <w:ind w:firstLine="420"/>
        <w:jc w:val="left"/>
      </w:pPr>
      <w:r>
        <w:rPr>
          <w:rFonts w:ascii="宋体" w:hAnsi="宋体" w:eastAsia="宋体"/>
          <w:b w:val="0"/>
          <w:sz w:val="24"/>
        </w:rPr>
        <w:t>然而，现有大多数 LLM-based APR 方法仍采用单一智能体范式，将故障定位、补丁设计与测试验证全部交由同一个模型完成。这一范式面临以下挑战：</w:t>
      </w:r>
    </w:p>
    <w:p>
      <w:pPr>
        <w:spacing w:line="360" w:lineRule="auto" w:after="120" w:before="0"/>
        <w:ind w:firstLine="420"/>
        <w:jc w:val="left"/>
      </w:pPr>
      <w:r>
        <w:rPr>
          <w:rFonts w:ascii="宋体" w:hAnsi="宋体" w:eastAsia="宋体"/>
          <w:b w:val="0"/>
          <w:sz w:val="24"/>
        </w:rPr>
        <w:t>1.  上下文污染：单次提示中包含过多无关代码，稀释了模型对关键缺陷位置的关注 [8]。</w:t>
      </w:r>
    </w:p>
    <w:p>
      <w:pPr>
        <w:spacing w:line="360" w:lineRule="auto" w:after="120" w:before="0"/>
        <w:ind w:firstLine="420"/>
        <w:jc w:val="left"/>
      </w:pPr>
      <w:r>
        <w:rPr>
          <w:rFonts w:ascii="宋体" w:hAnsi="宋体" w:eastAsia="宋体"/>
          <w:b w:val="0"/>
          <w:sz w:val="24"/>
        </w:rPr>
        <w:t>2.  角色混淆：单个智能体同时承担定位、生成与验证，难以在每个子任务上达到最优推理。</w:t>
      </w:r>
    </w:p>
    <w:p>
      <w:pPr>
        <w:spacing w:line="360" w:lineRule="auto" w:after="120" w:before="0"/>
        <w:ind w:firstLine="420"/>
        <w:jc w:val="left"/>
      </w:pPr>
      <w:r>
        <w:rPr>
          <w:rFonts w:ascii="宋体" w:hAnsi="宋体" w:eastAsia="宋体"/>
          <w:b w:val="0"/>
          <w:sz w:val="24"/>
        </w:rPr>
        <w:t>3.  结构依赖缺失：LLM 以扁平 token 序列处理代码，容易忽略函数调用、数据依赖等结构化信息，而 Xue 等人的研究表明，LLM-based APR 对输入扰动高度敏感，轻微语义等价的代码变换即可导致修复失败 [9]。</w:t>
      </w:r>
    </w:p>
    <w:p>
      <w:pPr>
        <w:spacing w:line="360" w:lineRule="auto" w:after="120" w:before="0"/>
        <w:ind w:firstLine="420"/>
        <w:jc w:val="left"/>
      </w:pPr>
      <w:r>
        <w:rPr>
          <w:rFonts w:ascii="宋体" w:hAnsi="宋体" w:eastAsia="宋体"/>
          <w:b w:val="0"/>
          <w:sz w:val="24"/>
        </w:rPr>
        <w:t>4.  验证与反思不足：Chen 等人指出，LLM 可通过执行结果进行自我调试（Self-Debugging），但现有 APR 系统往往缺乏系统化的验证-反馈闭环 [10]。</w:t>
      </w:r>
    </w:p>
    <w:p>
      <w:pPr>
        <w:spacing w:line="360" w:lineRule="auto" w:after="120" w:before="80"/>
        <w:ind w:firstLine="420"/>
        <w:jc w:val="left"/>
      </w:pPr>
      <w:r>
        <w:rPr>
          <w:rFonts w:ascii="宋体" w:hAnsi="宋体" w:eastAsia="宋体"/>
          <w:b/>
          <w:sz w:val="24"/>
        </w:rPr>
        <w:t>1.3 多智能体协同：机遇与风险</w:t>
      </w:r>
    </w:p>
    <w:p>
      <w:pPr>
        <w:spacing w:line="360" w:lineRule="auto" w:after="120" w:before="0"/>
        <w:ind w:firstLine="420"/>
        <w:jc w:val="left"/>
      </w:pPr>
      <w:r>
        <w:rPr>
          <w:rFonts w:ascii="宋体" w:hAnsi="宋体" w:eastAsia="宋体"/>
          <w:b w:val="0"/>
          <w:sz w:val="24"/>
        </w:rPr>
        <w:t>为克服单一智能体的局限，研究者开始将多智能体系统（Multi-Agent Systems, MAS）引入软件工程任务。He 等人对 71 项相关研究进行了系统综述，指出 LLM-based 多智能体系统（LMA）在软件开发生命周期各阶段均具有变革潜力，能够通过角色专业化、迭代反馈与交叉验证提升自主问题解决能力与鲁棒性 [11]。MetaGPT 通过将标准作业程序（SOP）编码为提示序列，利用装配线式角色分工生成更连贯的软件解决方案 [12]；AgentVerse 则展示了如何动态编排专家智能体群体以超越单一模型性能 [13]。</w:t>
      </w:r>
    </w:p>
    <w:p>
      <w:pPr>
        <w:spacing w:line="360" w:lineRule="auto" w:after="120" w:before="0"/>
        <w:ind w:firstLine="420"/>
        <w:jc w:val="left"/>
      </w:pPr>
      <w:r>
        <w:rPr>
          <w:rFonts w:ascii="宋体" w:hAnsi="宋体" w:eastAsia="宋体"/>
          <w:b w:val="0"/>
          <w:sz w:val="24"/>
        </w:rPr>
        <w:t>然而，多智能体并非万能药。Cemri 等人对 7 个主流 MAS 框架的 1600 余条执行轨迹进行了失败分析，发现失败率高达 41%–86.7%，主要根因包括任务规范偏离、智能体间对齐失败以及任务验证不足 [14]。Tran 等人的综述进一步指出，MAS 的协作机制需在角色定义、通信拓扑与协调协议等维度上进行精细设计 [15]。</w:t>
      </w:r>
    </w:p>
    <w:p>
      <w:pPr>
        <w:spacing w:line="360" w:lineRule="auto" w:after="120" w:before="80"/>
        <w:ind w:firstLine="420"/>
        <w:jc w:val="left"/>
      </w:pPr>
      <w:r>
        <w:rPr>
          <w:rFonts w:ascii="宋体" w:hAnsi="宋体" w:eastAsia="宋体"/>
          <w:b/>
          <w:sz w:val="24"/>
        </w:rPr>
        <w:t>1.4 研究目标</w:t>
      </w:r>
    </w:p>
    <w:p>
      <w:pPr>
        <w:spacing w:line="360" w:lineRule="auto" w:after="120" w:before="0"/>
        <w:ind w:firstLine="420"/>
        <w:jc w:val="left"/>
      </w:pPr>
      <w:r>
        <w:rPr>
          <w:rFonts w:ascii="宋体" w:hAnsi="宋体" w:eastAsia="宋体"/>
          <w:b w:val="0"/>
          <w:sz w:val="24"/>
        </w:rPr>
        <w:t>针对上述挑战与机遇，本项目提出 MACR（Multi-Agent Collaborative Repair） 框架，通过动态角色编排与代码知识图谱（Code Knowledge Graph, KG）提升 LLM 在真实代码库上的修复能力。核心研究目标包括：</w:t>
      </w:r>
    </w:p>
    <w:p>
      <w:pPr>
        <w:spacing w:line="360" w:lineRule="auto" w:after="120" w:before="0"/>
        <w:ind w:firstLine="420"/>
        <w:jc w:val="left"/>
      </w:pPr>
      <w:r>
        <w:rPr>
          <w:rFonts w:ascii="宋体" w:hAnsi="宋体" w:eastAsia="宋体"/>
          <w:b w:val="0"/>
          <w:sz w:val="24"/>
        </w:rPr>
        <w:t>-   设计协调器（Coordinator）驱动的多智能体协同机制，实现故障定位、补丁生成与验证的角色分离。</w:t>
      </w:r>
    </w:p>
    <w:p>
      <w:pPr>
        <w:spacing w:line="360" w:lineRule="auto" w:after="120" w:before="0"/>
        <w:ind w:firstLine="420"/>
        <w:jc w:val="left"/>
      </w:pPr>
      <w:r>
        <w:rPr>
          <w:rFonts w:ascii="宋体" w:hAnsi="宋体" w:eastAsia="宋体"/>
          <w:b w:val="0"/>
          <w:sz w:val="24"/>
        </w:rPr>
        <w:t>-   构建基于抽象语法树（AST）的动态代码知识图谱，为各子智能体提供精确的结构化上下文。</w:t>
      </w:r>
    </w:p>
    <w:p>
      <w:pPr>
        <w:spacing w:line="360" w:lineRule="auto" w:after="120" w:before="0"/>
        <w:ind w:firstLine="420"/>
        <w:jc w:val="left"/>
      </w:pPr>
      <w:r>
        <w:rPr>
          <w:rFonts w:ascii="宋体" w:hAnsi="宋体" w:eastAsia="宋体"/>
          <w:b w:val="0"/>
          <w:sz w:val="24"/>
        </w:rPr>
        <w:t>-   在 QuixBugs 等公开数据集上验证 MACR 的有效性，并分析各模块的贡献。</w:t>
      </w:r>
    </w:p>
    <w:p>
      <w:pPr>
        <w:spacing w:line="360" w:lineRule="auto" w:after="120" w:before="0"/>
        <w:ind w:firstLine="420"/>
        <w:jc w:val="left"/>
      </w:pPr>
      <w:r>
        <w:rPr>
          <w:rFonts w:ascii="宋体" w:hAnsi="宋体" w:eastAsia="宋体"/>
          <w:b w:val="0"/>
          <w:sz w:val="24"/>
        </w:rPr>
        <w:t>-   形成高水平学术论文，投稿至软件工程领域顶级会议。</w:t>
      </w:r>
    </w:p>
    <w:p>
      <w:pPr>
        <w:spacing w:line="360" w:lineRule="auto" w:after="120" w:before="0"/>
        <w:ind w:firstLine="420"/>
        <w:jc w:val="left"/>
      </w:pPr>
      <w:r>
        <w:rPr>
          <w:rFonts w:ascii="宋体" w:hAnsi="宋体" w:eastAsia="宋体"/>
          <w:b w:val="0"/>
          <w:sz w:val="24"/>
        </w:rPr>
        <w:t>[1] G. Tassey, “The economic impacts of inadequate infrastructure for software testing,” 2002. Accessed: Dec. 21, 2025. [Online]. Available: https://www.semanticscholar.org/paper/The-economic-impacts-of-inadequate-infrastructure-Tassey/92b286e00a26f059c278a66d00e087c01306648f</w:t>
      </w:r>
    </w:p>
    <w:p>
      <w:pPr>
        <w:spacing w:line="360" w:lineRule="auto" w:after="120" w:before="0"/>
        <w:ind w:firstLine="420"/>
        <w:jc w:val="left"/>
      </w:pPr>
      <w:r>
        <w:rPr>
          <w:rFonts w:ascii="宋体" w:hAnsi="宋体" w:eastAsia="宋体"/>
          <w:b w:val="0"/>
          <w:sz w:val="24"/>
        </w:rPr>
        <w:t>[2] C. Le Goues, T. Nguyen, S. Forrest, and W. Weimer, “GenProg: A generic method for automatic software repair,” IEEE Transactions on Software Engineering, vol. 38, no. 1, pp. 54–72, Jan. 2012, doi: 10.1109/TSE.2011.104.</w:t>
      </w:r>
    </w:p>
    <w:p>
      <w:pPr>
        <w:spacing w:line="360" w:lineRule="auto" w:after="120" w:before="0"/>
        <w:ind w:firstLine="420"/>
        <w:jc w:val="left"/>
      </w:pPr>
      <w:r>
        <w:rPr>
          <w:rFonts w:ascii="宋体" w:hAnsi="宋体" w:eastAsia="宋体"/>
          <w:b w:val="0"/>
          <w:sz w:val="24"/>
        </w:rPr>
        <w:t>[3] H. D. T. Nguyen, D. Qi, A. Roychoudhury, and S. Chandra, “SemFix: Program repair via semantic analysis,” in Proceedings of the 2013 international conference on software engineering, in ICSE ’13. San Francisco, CA, USA: IEEE Press, May 2013, pp. 772–781.</w:t>
      </w:r>
    </w:p>
    <w:p>
      <w:pPr>
        <w:spacing w:line="360" w:lineRule="auto" w:after="120" w:before="0"/>
        <w:ind w:firstLine="420"/>
        <w:jc w:val="left"/>
      </w:pPr>
      <w:r>
        <w:rPr>
          <w:rFonts w:ascii="宋体" w:hAnsi="宋体" w:eastAsia="宋体"/>
          <w:b w:val="0"/>
          <w:sz w:val="24"/>
        </w:rPr>
        <w:t>[4] Z. Chen, S. Kommrusch, M. Tufano, L.-N. Pouchet, D. Poshyvanyk, and M. Monperrus, “SequenceR: Sequence-to-sequence learning for end-to-end program repair,” IIEEE Trans. Software Eng., pp. 1–1, 2021, doi: 10.1109/TSE.2019.2940179.</w:t>
      </w:r>
    </w:p>
    <w:p>
      <w:pPr>
        <w:spacing w:line="360" w:lineRule="auto" w:after="120" w:before="0"/>
        <w:ind w:firstLine="420"/>
        <w:jc w:val="left"/>
      </w:pPr>
      <w:r>
        <w:rPr>
          <w:rFonts w:ascii="宋体" w:hAnsi="宋体" w:eastAsia="宋体"/>
          <w:b w:val="0"/>
          <w:sz w:val="24"/>
        </w:rPr>
        <w:t>[5] D. Kim, J. Nam, J. Song, and S. Kim, “Automatic patch generation learned from human-written patches,” in 2013 35th international conference on software engineering (ICSE), San Francisco, CA, USA: IEEE, May 2013, pp. 802–811. doi: 10.1109/ICSE.2013.6606626.</w:t>
      </w:r>
    </w:p>
    <w:p>
      <w:pPr>
        <w:spacing w:line="360" w:lineRule="auto" w:after="120" w:before="0"/>
        <w:ind w:firstLine="420"/>
        <w:jc w:val="left"/>
      </w:pPr>
      <w:r>
        <w:rPr>
          <w:rFonts w:ascii="宋体" w:hAnsi="宋体" w:eastAsia="宋体"/>
          <w:b w:val="0"/>
          <w:sz w:val="24"/>
        </w:rPr>
        <w:t>[6] C. S. Xia, Y. Wei, and L. Zhang, “Practical program repair in the era of large pre-trained language models,” in 2023 IEEE/ACM 45th international conference on software engineering (ICSE), May 2023, pp. 1482–1494. doi: 10.1109/ICSE48619.2023.00129.</w:t>
      </w:r>
    </w:p>
    <w:p>
      <w:pPr>
        <w:spacing w:line="360" w:lineRule="auto" w:after="120" w:before="0"/>
        <w:ind w:firstLine="420"/>
        <w:jc w:val="left"/>
      </w:pPr>
      <w:r>
        <w:rPr>
          <w:rFonts w:ascii="宋体" w:hAnsi="宋体" w:eastAsia="宋体"/>
          <w:b w:val="0"/>
          <w:sz w:val="24"/>
        </w:rPr>
        <w:t>[7] B. Yang et al., “A survey of LLM-based automated program repair: Taxonomies, design paradigms, and applications.” arXiv, Dec. 04, 2025. doi: 10.48550/arXiv.2506.23749.</w:t>
      </w:r>
    </w:p>
    <w:p>
      <w:pPr>
        <w:spacing w:line="360" w:lineRule="auto" w:after="120" w:before="0"/>
        <w:ind w:firstLine="420"/>
        <w:jc w:val="left"/>
      </w:pPr>
      <w:r>
        <w:rPr>
          <w:rFonts w:ascii="宋体" w:hAnsi="宋体" w:eastAsia="宋体"/>
          <w:b w:val="0"/>
          <w:sz w:val="24"/>
        </w:rPr>
        <w:t>[8] Z. Zhang, Y. Wang, C. Wang, J. Chen, and Z. Zheng, “LLM hallucinations in practical code generation: Phenomena, mechanism, and mitigation.” arXiv, Jan. 17, 2025. doi: 10.48550/arXiv.2409.20550.</w:t>
      </w:r>
    </w:p>
    <w:p>
      <w:pPr>
        <w:spacing w:line="360" w:lineRule="auto" w:after="120" w:before="0"/>
        <w:ind w:firstLine="420"/>
        <w:jc w:val="left"/>
      </w:pPr>
      <w:r>
        <w:rPr>
          <w:rFonts w:ascii="宋体" w:hAnsi="宋体" w:eastAsia="宋体"/>
          <w:b w:val="0"/>
          <w:sz w:val="24"/>
        </w:rPr>
        <w:t>[9] P. Xue et al., “Exploring and lifting the robustness of LLM-powered automated program repair with metamorphic testing.” arXiv, Mar. 09, 2025. doi: 10.48550/arXiv.2410.07516.</w:t>
      </w:r>
    </w:p>
    <w:p>
      <w:pPr>
        <w:spacing w:line="360" w:lineRule="auto" w:after="120" w:before="0"/>
        <w:ind w:firstLine="420"/>
        <w:jc w:val="left"/>
      </w:pPr>
      <w:r>
        <w:rPr>
          <w:rFonts w:ascii="宋体" w:hAnsi="宋体" w:eastAsia="宋体"/>
          <w:b w:val="0"/>
          <w:sz w:val="24"/>
        </w:rPr>
        <w:t>[10] X. Chen, M. Lin, N. Schärli, and D. Zhou, “Teaching large language models to self-debug.” arXiv, Oct. 05, 2023. doi: 10.48550/arXiv.2304.05128.</w:t>
      </w:r>
    </w:p>
    <w:p>
      <w:pPr>
        <w:spacing w:line="360" w:lineRule="auto" w:after="120" w:before="0"/>
        <w:ind w:firstLine="420"/>
        <w:jc w:val="left"/>
      </w:pPr>
      <w:r>
        <w:rPr>
          <w:rFonts w:ascii="宋体" w:hAnsi="宋体" w:eastAsia="宋体"/>
          <w:b w:val="0"/>
          <w:sz w:val="24"/>
        </w:rPr>
        <w:t>[11] J. He, C. Treude, and D. Lo, “LLM-based multi-agent systems for software engineering: Literature review, vision, and the road ahead,” ACM Trans. Softw. Eng. Methodol., vol. 34, no. 5, pp. 124:1–124:30, May 2025, doi: 10.1145/3712003.</w:t>
      </w:r>
    </w:p>
    <w:p>
      <w:pPr>
        <w:spacing w:line="360" w:lineRule="auto" w:after="120" w:before="0"/>
        <w:ind w:firstLine="420"/>
        <w:jc w:val="left"/>
      </w:pPr>
      <w:r>
        <w:rPr>
          <w:rFonts w:ascii="宋体" w:hAnsi="宋体" w:eastAsia="宋体"/>
          <w:b w:val="0"/>
          <w:sz w:val="24"/>
        </w:rPr>
        <w:t>[12] S. Hong et al., “MetaGPT: Meta programming for a multi-agent collaborative framework.” arXiv, Nov. 01, 2024. doi: 10.48550/arXiv.2308.00352.</w:t>
      </w:r>
    </w:p>
    <w:p>
      <w:pPr>
        <w:spacing w:line="360" w:lineRule="auto" w:after="120" w:before="0"/>
        <w:ind w:firstLine="420"/>
        <w:jc w:val="left"/>
      </w:pPr>
      <w:r>
        <w:rPr>
          <w:rFonts w:ascii="宋体" w:hAnsi="宋体" w:eastAsia="宋体"/>
          <w:b w:val="0"/>
          <w:sz w:val="24"/>
        </w:rPr>
        <w:t>[13] W. Chen et al., “AGENTVERSE: FACILITATING MULTI-AGENT COLLAB- ORATION AND EXPLORING EMERGENT BEHAVIORS,” 2024.</w:t>
      </w:r>
    </w:p>
    <w:p>
      <w:pPr>
        <w:spacing w:line="360" w:lineRule="auto" w:after="120" w:before="0"/>
        <w:ind w:firstLine="420"/>
        <w:jc w:val="left"/>
      </w:pPr>
      <w:r>
        <w:rPr>
          <w:rFonts w:ascii="宋体" w:hAnsi="宋体" w:eastAsia="宋体"/>
          <w:b w:val="0"/>
          <w:sz w:val="24"/>
        </w:rPr>
        <w:t>[14] M. Cemri et al., “Why do multi-agent LLM systems fail?”</w:t>
      </w:r>
    </w:p>
    <w:p>
      <w:pPr>
        <w:spacing w:line="360" w:lineRule="auto" w:after="120" w:before="0"/>
        <w:ind w:firstLine="420"/>
        <w:jc w:val="left"/>
      </w:pPr>
      <w:r>
        <w:rPr>
          <w:rFonts w:ascii="宋体" w:hAnsi="宋体" w:eastAsia="宋体"/>
          <w:b w:val="0"/>
          <w:sz w:val="24"/>
        </w:rPr>
        <w:t>[15] K.-T. Tran, D. Dao, M.-D. Nguyen, Q.-V. Pham, B. O’Sullivan, and H. D. Nguyen, “Multi-agent collaboration mechanisms: A survey of LLMs.” arXiv, Jan. 10, 2025. doi: 10.48550/arXiv.2501.06322.</w:t>
      </w:r>
    </w:p>
    <w:p>
      <w:pPr>
        <w:spacing w:line="360" w:lineRule="auto" w:after="120" w:before="160"/>
        <w:ind w:firstLine="420"/>
        <w:jc w:val="left"/>
      </w:pPr>
      <w:r>
        <w:rPr>
          <w:rFonts w:ascii="宋体" w:hAnsi="宋体" w:eastAsia="宋体"/>
          <w:b/>
          <w:sz w:val="24"/>
        </w:rPr>
        <w:t>2 论文工作进展与阶段性成果</w:t>
      </w:r>
    </w:p>
    <w:p>
      <w:pPr>
        <w:spacing w:line="360" w:lineRule="auto" w:after="120" w:before="0"/>
        <w:ind w:firstLine="420"/>
        <w:jc w:val="left"/>
      </w:pPr>
      <w:r>
        <w:rPr>
          <w:rFonts w:ascii="宋体" w:hAnsi="宋体" w:eastAsia="宋体"/>
          <w:b w:val="0"/>
          <w:sz w:val="24"/>
        </w:rPr>
        <w:t>截至目前，项目已完成了总体框架设计、数据集构建、原型系统实现、实验评估以及论文初稿撰写等关键任务。下面从系统构建、实验结果与论文产出三个维度进行总结。</w:t>
      </w:r>
    </w:p>
    <w:p>
      <w:pPr>
        <w:spacing w:line="360" w:lineRule="auto" w:after="120" w:before="80"/>
        <w:ind w:firstLine="420"/>
        <w:jc w:val="left"/>
      </w:pPr>
      <w:r>
        <w:rPr>
          <w:rFonts w:ascii="宋体" w:hAnsi="宋体" w:eastAsia="宋体"/>
          <w:b/>
          <w:sz w:val="24"/>
        </w:rPr>
        <w:t>2.1 MACR 框架实现</w:t>
      </w:r>
    </w:p>
    <w:p>
      <w:pPr>
        <w:spacing w:line="360" w:lineRule="auto" w:after="120" w:before="0"/>
        <w:ind w:firstLine="420"/>
        <w:jc w:val="left"/>
      </w:pPr>
      <w:r>
        <w:rPr>
          <w:rFonts w:ascii="宋体" w:hAnsi="宋体" w:eastAsia="宋体"/>
          <w:b w:val="0"/>
          <w:sz w:val="24"/>
        </w:rPr>
        <w:t>MACR 框架采用协调器-智能体（Coordinator-Agent）架构，由统一协调器负责解析问题、分配任务、管理通信并聚合结果。框架已实现了以下核心模块：</w:t>
      </w:r>
    </w:p>
    <w:p>
      <w:pPr>
        <w:spacing w:line="360" w:lineRule="auto" w:after="120" w:before="0"/>
        <w:ind w:firstLine="420"/>
        <w:jc w:val="left"/>
      </w:pPr>
      <w:r>
        <w:rPr>
          <w:rFonts w:ascii="宋体" w:hAnsi="宋体" w:eastAsia="宋体"/>
          <w:b w:val="0"/>
          <w:sz w:val="24"/>
        </w:rPr>
        <w:t>-   Coordinator（协调器）：负责任务分解、状态跟踪与结果汇总。</w:t>
      </w:r>
    </w:p>
    <w:p>
      <w:pPr>
        <w:spacing w:line="360" w:lineRule="auto" w:after="120" w:before="0"/>
        <w:ind w:firstLine="420"/>
        <w:jc w:val="left"/>
      </w:pPr>
      <w:r>
        <w:rPr>
          <w:rFonts w:ascii="宋体" w:hAnsi="宋体" w:eastAsia="宋体"/>
          <w:b w:val="0"/>
          <w:sz w:val="24"/>
        </w:rPr>
        <w:t>-   Fault Localization Agent（故障定位智能体）：基于 Spectrum-based Fault Localization（SBFL）生成可疑代码位置列表。</w:t>
      </w:r>
    </w:p>
    <w:p>
      <w:pPr>
        <w:spacing w:line="360" w:lineRule="auto" w:after="120" w:before="0"/>
        <w:ind w:firstLine="420"/>
        <w:jc w:val="left"/>
      </w:pPr>
      <w:r>
        <w:rPr>
          <w:rFonts w:ascii="宋体" w:hAnsi="宋体" w:eastAsia="宋体"/>
          <w:b w:val="0"/>
          <w:sz w:val="24"/>
        </w:rPr>
        <w:t>-   Patch Generation Agent（补丁生成智能体）：基于 SBFL 排名与代码上下文生成候选补丁。</w:t>
      </w:r>
    </w:p>
    <w:p>
      <w:pPr>
        <w:spacing w:line="360" w:lineRule="auto" w:after="120" w:before="0"/>
        <w:ind w:firstLine="420"/>
        <w:jc w:val="left"/>
      </w:pPr>
      <w:r>
        <w:rPr>
          <w:rFonts w:ascii="宋体" w:hAnsi="宋体" w:eastAsia="宋体"/>
          <w:b w:val="0"/>
          <w:sz w:val="24"/>
        </w:rPr>
        <w:t>-   Validation Agent（验证智能体）：负责补丁编译、测试执行与结果汇总。</w:t>
      </w:r>
    </w:p>
    <w:p>
      <w:pPr>
        <w:spacing w:line="360" w:lineRule="auto" w:after="120" w:before="0"/>
        <w:ind w:firstLine="420"/>
        <w:jc w:val="left"/>
      </w:pPr>
      <w:r>
        <w:rPr>
          <w:rFonts w:ascii="宋体" w:hAnsi="宋体" w:eastAsia="宋体"/>
          <w:b w:val="0"/>
          <w:sz w:val="24"/>
        </w:rPr>
        <w:t>-   Diagnosis Agent（诊断智能体）：当补丁失败时，分析失败原因并反馈至补丁生成阶段，实现迭代修复。</w:t>
      </w:r>
    </w:p>
    <w:p>
      <w:pPr>
        <w:spacing w:line="360" w:lineRule="auto" w:after="120" w:before="0"/>
        <w:ind w:firstLine="420"/>
        <w:jc w:val="left"/>
      </w:pPr>
      <w:r>
        <w:rPr>
          <w:rFonts w:ascii="宋体" w:hAnsi="宋体" w:eastAsia="宋体"/>
          <w:b w:val="0"/>
          <w:sz w:val="24"/>
        </w:rPr>
        <w:t>-   Knowledge Graph Agent（知识图谱智能体）：动态维护代码知识图谱，提供函数调用、变量作用域与数据依赖等结构化信息。</w:t>
      </w:r>
    </w:p>
    <w:p>
      <w:pPr>
        <w:spacing w:line="360" w:lineRule="auto" w:after="120" w:before="0"/>
        <w:ind w:firstLine="420"/>
        <w:jc w:val="left"/>
      </w:pPr>
      <w:r>
        <w:rPr>
          <w:rFonts w:ascii="宋体" w:hAnsi="宋体" w:eastAsia="宋体"/>
          <w:b w:val="0"/>
          <w:sz w:val="24"/>
        </w:rPr>
        <w:t>在实现过程中，框架参考了 RepairAgent 的工作流设计思想，即在接收到 bug 报告后，智能体可自主决定下一步动作，如阅读文件、搜索代码、生成补丁、执行测试等 [1]。与 RepairAgent 不同，MACR 通过显式的多智能体分工与代码知识图谱，增强了任务的专业化与上下文的结构化表达。</w:t>
      </w:r>
    </w:p>
    <w:p>
      <w:pPr>
        <w:spacing w:line="360" w:lineRule="auto" w:after="120" w:before="80"/>
        <w:ind w:firstLine="420"/>
        <w:jc w:val="left"/>
      </w:pPr>
      <w:r>
        <w:rPr>
          <w:rFonts w:ascii="宋体" w:hAnsi="宋体" w:eastAsia="宋体"/>
          <w:b/>
          <w:sz w:val="24"/>
        </w:rPr>
        <w:t>2.2 数据集与测试基准</w:t>
      </w:r>
    </w:p>
    <w:p>
      <w:pPr>
        <w:spacing w:line="360" w:lineRule="auto" w:after="120" w:before="0"/>
        <w:ind w:firstLine="420"/>
        <w:jc w:val="left"/>
      </w:pPr>
      <w:r>
        <w:rPr>
          <w:rFonts w:ascii="宋体" w:hAnsi="宋体" w:eastAsia="宋体"/>
          <w:b w:val="0"/>
          <w:sz w:val="24"/>
        </w:rPr>
        <w:t>实验采用 QuixBugs 数据集作为主体测试基准。QuixBugs 包含 40 个经典编程问题，每个问题均提供有缺陷实现与对应的单元测试，被广泛用作 APR 方法的快速验证平台 [2]。在测试过程中，我们修复了若干测试驱动脚本，使其适配当前 Python 环境与依赖版本，确保评估结果可复现。</w:t>
      </w:r>
    </w:p>
    <w:p>
      <w:pPr>
        <w:spacing w:line="360" w:lineRule="auto" w:after="120" w:before="80"/>
        <w:ind w:firstLine="420"/>
        <w:jc w:val="left"/>
      </w:pPr>
      <w:r>
        <w:rPr>
          <w:rFonts w:ascii="宋体" w:hAnsi="宋体" w:eastAsia="宋体"/>
          <w:b/>
          <w:sz w:val="24"/>
        </w:rPr>
        <w:t>2.3 主要实验结果</w:t>
      </w:r>
    </w:p>
    <w:p>
      <w:pPr>
        <w:spacing w:line="360" w:lineRule="auto" w:after="120" w:before="80"/>
        <w:ind w:firstLine="420"/>
        <w:jc w:val="left"/>
      </w:pPr>
      <w:r>
        <w:rPr>
          <w:rFonts w:ascii="宋体" w:hAnsi="宋体" w:eastAsia="宋体"/>
          <w:b/>
          <w:sz w:val="24"/>
        </w:rPr>
        <w:t>2.3.1 整体修复率</w:t>
      </w:r>
    </w:p>
    <w:p>
      <w:pPr>
        <w:spacing w:line="360" w:lineRule="auto" w:after="120" w:before="0"/>
        <w:ind w:firstLine="420"/>
        <w:jc w:val="left"/>
      </w:pPr>
      <w:r>
        <w:rPr>
          <w:rFonts w:ascii="宋体" w:hAnsi="宋体" w:eastAsia="宋体"/>
          <w:b w:val="0"/>
          <w:sz w:val="24"/>
        </w:rPr>
        <w:t>在 QuixBugs 数据集上，MACR 原型系统的整体修复率为 55%，即成功修复 22/40 个缺陷。作为对比，经典神经 APR 方法 SequenceR 在相同数据集上的修复率约为 20% [3]，而近期基于 LLM 对话的 ChatRepair 可达 48%–67%（取决于模型与轮次）[4]。</w:t>
      </w:r>
    </w:p>
    <w:p>
      <w:pPr>
        <w:spacing w:line="360" w:lineRule="auto" w:after="120" w:before="0"/>
        <w:ind w:firstLine="420"/>
        <w:jc w:val="left"/>
      </w:pPr>
      <w:r>
        <w:rPr>
          <w:rFonts w:ascii="宋体" w:hAnsi="宋体" w:eastAsia="宋体"/>
          <w:b w:val="0"/>
          <w:sz w:val="24"/>
        </w:rPr>
        <w:t>如图所示，MACR 在 QuixBugs 上的修复率高于传统神经 APR 方法，且与先进 LLM-based APR 方法处于同一水平。这一结果表明，多智能体协同与知识图谱的结合能够在不依赖昂贵微调的前提下，显著提升修复能力。</w:t>
      </w:r>
    </w:p>
    <w:p>
      <w:pPr>
        <w:spacing w:line="360" w:lineRule="auto" w:after="120" w:before="80"/>
        <w:ind w:firstLine="420"/>
        <w:jc w:val="left"/>
      </w:pPr>
      <w:r>
        <w:rPr>
          <w:rFonts w:ascii="宋体" w:hAnsi="宋体" w:eastAsia="宋体"/>
          <w:b/>
          <w:sz w:val="24"/>
        </w:rPr>
        <w:t>2.3.2 成本分析</w:t>
      </w:r>
    </w:p>
    <w:p>
      <w:pPr>
        <w:spacing w:line="360" w:lineRule="auto" w:after="120" w:before="0"/>
        <w:ind w:firstLine="420"/>
        <w:jc w:val="left"/>
      </w:pPr>
      <w:r>
        <w:rPr>
          <w:rFonts w:ascii="宋体" w:hAnsi="宋体" w:eastAsia="宋体"/>
          <w:b w:val="0"/>
          <w:sz w:val="24"/>
        </w:rPr>
        <w:t>LLM-based APR 的成本主要体现为 API token 消耗。图展示了 MACR 在 QuixBugs 各样本上的 token 分布。平均每个 bug 约消耗 35k token，中位数约为 28k。这一成本高于单次生成式 APR，但低于需要大量采样的方法（如生成-验证方法通常需要数百次候选生成）。</w:t>
      </w:r>
    </w:p>
    <w:p>
      <w:pPr>
        <w:spacing w:line="360" w:lineRule="auto" w:after="120" w:before="80"/>
        <w:ind w:firstLine="420"/>
        <w:jc w:val="left"/>
      </w:pPr>
      <w:r>
        <w:rPr>
          <w:rFonts w:ascii="宋体" w:hAnsi="宋体" w:eastAsia="宋体"/>
          <w:b/>
          <w:sz w:val="24"/>
        </w:rPr>
        <w:t>2.3.3 失败模式分析</w:t>
      </w:r>
    </w:p>
    <w:p>
      <w:pPr>
        <w:spacing w:line="360" w:lineRule="auto" w:after="120" w:before="0"/>
        <w:ind w:firstLine="420"/>
        <w:jc w:val="left"/>
      </w:pPr>
      <w:r>
        <w:rPr>
          <w:rFonts w:ascii="宋体" w:hAnsi="宋体" w:eastAsia="宋体"/>
          <w:b w:val="0"/>
          <w:sz w:val="24"/>
        </w:rPr>
        <w:t>对 18 个未修复样本的失败原因进行分析，可归纳为以下四类：</w:t>
      </w:r>
    </w:p>
    <w:p>
      <w:pPr>
        <w:spacing w:line="360" w:lineRule="auto" w:after="120" w:before="0"/>
        <w:ind w:firstLine="420"/>
        <w:jc w:val="left"/>
      </w:pPr>
      <w:r>
        <w:rPr>
          <w:rFonts w:ascii="宋体" w:hAnsi="宋体" w:eastAsia="宋体"/>
          <w:b w:val="0"/>
          <w:sz w:val="24"/>
        </w:rPr>
        <w:t>-   上下文不足（Context Insufficiency）：缺陷涉及跨文件依赖或外部库，智能体未能获取充分上下文。</w:t>
      </w:r>
    </w:p>
    <w:p>
      <w:pPr>
        <w:spacing w:line="360" w:lineRule="auto" w:after="120" w:before="0"/>
        <w:ind w:firstLine="420"/>
        <w:jc w:val="left"/>
      </w:pPr>
      <w:r>
        <w:rPr>
          <w:rFonts w:ascii="宋体" w:hAnsi="宋体" w:eastAsia="宋体"/>
          <w:b w:val="0"/>
          <w:sz w:val="24"/>
        </w:rPr>
        <w:t>-   生成偏差（Generation Bias）：模型倾向于生成常见但错误的模式，例如边界条件处理不当。</w:t>
      </w:r>
    </w:p>
    <w:p>
      <w:pPr>
        <w:spacing w:line="360" w:lineRule="auto" w:after="120" w:before="0"/>
        <w:ind w:firstLine="420"/>
        <w:jc w:val="left"/>
      </w:pPr>
      <w:r>
        <w:rPr>
          <w:rFonts w:ascii="宋体" w:hAnsi="宋体" w:eastAsia="宋体"/>
          <w:b w:val="0"/>
          <w:sz w:val="24"/>
        </w:rPr>
        <w:t>-   验证反馈失效（Feedback Failure）：测试失败信息未能有效转化为生成智能体可执行的改进建议。</w:t>
      </w:r>
    </w:p>
    <w:p>
      <w:pPr>
        <w:spacing w:line="360" w:lineRule="auto" w:after="120" w:before="0"/>
        <w:ind w:firstLine="420"/>
        <w:jc w:val="left"/>
      </w:pPr>
      <w:r>
        <w:rPr>
          <w:rFonts w:ascii="宋体" w:hAnsi="宋体" w:eastAsia="宋体"/>
          <w:b w:val="0"/>
          <w:sz w:val="24"/>
        </w:rPr>
        <w:t>-   知识图谱覆盖不足（KG Coverage）：部分动态或反射式代码结构难以被静态 AST 分析覆盖。</w:t>
      </w:r>
    </w:p>
    <w:p>
      <w:pPr>
        <w:spacing w:line="360" w:lineRule="auto" w:after="120" w:before="80"/>
        <w:ind w:firstLine="420"/>
        <w:jc w:val="left"/>
      </w:pPr>
      <w:r>
        <w:rPr>
          <w:rFonts w:ascii="宋体" w:hAnsi="宋体" w:eastAsia="宋体"/>
          <w:b/>
          <w:sz w:val="24"/>
        </w:rPr>
        <w:t>2.3.4 修复时间线</w:t>
      </w:r>
    </w:p>
    <w:p>
      <w:pPr>
        <w:spacing w:line="360" w:lineRule="auto" w:after="120" w:before="80"/>
        <w:ind w:firstLine="420"/>
        <w:jc w:val="left"/>
      </w:pPr>
      <w:r>
        <w:rPr>
          <w:rFonts w:ascii="宋体" w:hAnsi="宋体" w:eastAsia="宋体"/>
          <w:b/>
          <w:sz w:val="24"/>
        </w:rPr>
        <w:t>2.4 论文发表进展</w:t>
      </w:r>
    </w:p>
    <w:p>
      <w:pPr>
        <w:spacing w:line="360" w:lineRule="auto" w:after="120" w:before="0"/>
        <w:ind w:firstLine="420"/>
        <w:jc w:val="left"/>
      </w:pPr>
      <w:r>
        <w:rPr>
          <w:rFonts w:ascii="宋体" w:hAnsi="宋体" w:eastAsia="宋体"/>
          <w:b w:val="0"/>
          <w:sz w:val="24"/>
        </w:rPr>
        <w:t>围绕 MACR 框架的设计、实现与评估，课题组已启动论文撰写工作，计划投稿至软件工程领域顶级会议。论文题目暂定为 “MACR: Multi-Agent Collaborative Repair with Dynamic Role Orchestration and Code Knowledge Graphs”。目前论文已完成以下部分：</w:t>
      </w:r>
    </w:p>
    <w:p>
      <w:pPr>
        <w:spacing w:line="360" w:lineRule="auto" w:after="120" w:before="0"/>
        <w:ind w:firstLine="420"/>
        <w:jc w:val="left"/>
      </w:pPr>
      <w:r>
        <w:rPr>
          <w:rFonts w:ascii="宋体" w:hAnsi="宋体" w:eastAsia="宋体"/>
          <w:b w:val="0"/>
          <w:sz w:val="24"/>
        </w:rPr>
        <w:t>-   引言与相关工作梳理，系统对比了传统 APR、LLM-based APR 与多智能体 APR 三类方法。</w:t>
      </w:r>
    </w:p>
    <w:p>
      <w:pPr>
        <w:spacing w:line="360" w:lineRule="auto" w:after="120" w:before="0"/>
        <w:ind w:firstLine="420"/>
        <w:jc w:val="left"/>
      </w:pPr>
      <w:r>
        <w:rPr>
          <w:rFonts w:ascii="宋体" w:hAnsi="宋体" w:eastAsia="宋体"/>
          <w:b w:val="0"/>
          <w:sz w:val="24"/>
        </w:rPr>
        <w:t>-   MACR 方法论详细描述，包括协调器算法、智能体定义与知识图谱构建流程。</w:t>
      </w:r>
    </w:p>
    <w:p>
      <w:pPr>
        <w:spacing w:line="360" w:lineRule="auto" w:after="120" w:before="0"/>
        <w:ind w:firstLine="420"/>
        <w:jc w:val="left"/>
      </w:pPr>
      <w:r>
        <w:rPr>
          <w:rFonts w:ascii="宋体" w:hAnsi="宋体" w:eastAsia="宋体"/>
          <w:b w:val="0"/>
          <w:sz w:val="24"/>
        </w:rPr>
        <w:t>-   QuixBugs 实验结果与分析。</w:t>
      </w:r>
    </w:p>
    <w:p>
      <w:pPr>
        <w:spacing w:line="360" w:lineRule="auto" w:after="120" w:before="0"/>
        <w:ind w:firstLine="420"/>
        <w:jc w:val="left"/>
      </w:pPr>
      <w:r>
        <w:rPr>
          <w:rFonts w:ascii="宋体" w:hAnsi="宋体" w:eastAsia="宋体"/>
          <w:b w:val="0"/>
          <w:sz w:val="24"/>
        </w:rPr>
        <w:t>-   初步讨论失败模式与未来改进方向。</w:t>
      </w:r>
    </w:p>
    <w:p>
      <w:pPr>
        <w:spacing w:line="360" w:lineRule="auto" w:after="120" w:before="0"/>
        <w:ind w:firstLine="420"/>
        <w:jc w:val="left"/>
      </w:pPr>
      <w:r>
        <w:rPr>
          <w:rFonts w:ascii="宋体" w:hAnsi="宋体" w:eastAsia="宋体"/>
          <w:b w:val="0"/>
          <w:sz w:val="24"/>
        </w:rPr>
        <w:t>论文初稿预计于中期检查后一个月内完成，并投稿至 ICSE 2026 或 FSE 2026 等 CCF-A 类会议。</w:t>
      </w:r>
    </w:p>
    <w:p>
      <w:pPr>
        <w:spacing w:line="360" w:lineRule="auto" w:after="120" w:before="0"/>
        <w:ind w:firstLine="420"/>
        <w:jc w:val="left"/>
      </w:pPr>
      <w:r>
        <w:rPr>
          <w:rFonts w:ascii="宋体" w:hAnsi="宋体" w:eastAsia="宋体"/>
          <w:b w:val="0"/>
          <w:sz w:val="24"/>
        </w:rPr>
        <w:t>[1] I. Bouzenia, P. Devanbu, and M. Pradel, “RepairAgent: An autonomous, LLM-based agent for program repair.” arXiv, Oct. 28, 2024. doi: 10.48550/arXiv.2403.17134.</w:t>
      </w:r>
    </w:p>
    <w:p>
      <w:pPr>
        <w:spacing w:line="360" w:lineRule="auto" w:after="120" w:before="0"/>
        <w:ind w:firstLine="420"/>
        <w:jc w:val="left"/>
      </w:pPr>
      <w:r>
        <w:rPr>
          <w:rFonts w:ascii="宋体" w:hAnsi="宋体" w:eastAsia="宋体"/>
          <w:b w:val="0"/>
          <w:sz w:val="24"/>
        </w:rPr>
        <w:t>[2] D. Lin, J. Koppel, A. Chen, and A. Solar-Lezama, “QuixBugs: A multi-lingual program repair benchmark set based on the quixey challenge,” in Proceedings of the 2017 ACM SIGPLAN international symposium on new ideas, new paradigms, and reflections on programming and software, Vancouver, BC, Canada: ACM, 2017, pp. 55–64. doi: 10.1145/3133850.3133857.</w:t>
      </w:r>
    </w:p>
    <w:p>
      <w:pPr>
        <w:spacing w:line="360" w:lineRule="auto" w:after="120" w:before="0"/>
        <w:ind w:firstLine="420"/>
        <w:jc w:val="left"/>
      </w:pPr>
      <w:r>
        <w:rPr>
          <w:rFonts w:ascii="宋体" w:hAnsi="宋体" w:eastAsia="宋体"/>
          <w:b w:val="0"/>
          <w:sz w:val="24"/>
        </w:rPr>
        <w:t>[3] Z. Chen, S. Kommrusch, M. Tufano, L.-N. Pouchet, D. Poshyvanyk, and M. Monperrus, “SequenceR: Sequence-to-sequence learning for end-to-end program repair,” IIEEE Trans. Software Eng., pp. 1–1, 2021, doi: 10.1109/TSE.2019.2940179.</w:t>
      </w:r>
    </w:p>
    <w:p>
      <w:pPr>
        <w:spacing w:line="360" w:lineRule="auto" w:after="120" w:before="0"/>
        <w:ind w:firstLine="420"/>
        <w:jc w:val="left"/>
      </w:pPr>
      <w:r>
        <w:rPr>
          <w:rFonts w:ascii="宋体" w:hAnsi="宋体" w:eastAsia="宋体"/>
          <w:b w:val="0"/>
          <w:sz w:val="24"/>
        </w:rPr>
        <w:t>[4] C. S. Xia, Y. Wei, and L. Zhang, “Practical program repair in the era of large pre-trained language models,” in 2023 IEEE/ACM 45th international conference on software engineering (ICSE), May 2023, pp. 1482–1494. doi: 10.1109/ICSE48619.2023.00129.</w:t>
      </w:r>
    </w:p>
    <w:p>
      <w:pPr>
        <w:spacing w:line="360" w:lineRule="auto" w:after="120" w:before="160"/>
        <w:ind w:firstLine="420"/>
        <w:jc w:val="left"/>
      </w:pPr>
      <w:r>
        <w:rPr>
          <w:rFonts w:ascii="宋体" w:hAnsi="宋体" w:eastAsia="宋体"/>
          <w:b/>
          <w:sz w:val="24"/>
        </w:rPr>
        <w:t>3 论文发表情况</w:t>
      </w:r>
    </w:p>
    <w:p>
      <w:pPr>
        <w:spacing w:line="360" w:lineRule="auto" w:after="120" w:before="80"/>
        <w:ind w:firstLine="420"/>
        <w:jc w:val="left"/>
      </w:pPr>
      <w:r>
        <w:rPr>
          <w:rFonts w:ascii="宋体" w:hAnsi="宋体" w:eastAsia="宋体"/>
          <w:b/>
          <w:sz w:val="24"/>
        </w:rPr>
        <w:t>3.1 论文选题与目标会议</w:t>
      </w:r>
    </w:p>
    <w:p>
      <w:pPr>
        <w:spacing w:line="360" w:lineRule="auto" w:after="120" w:before="0"/>
        <w:ind w:firstLine="420"/>
        <w:jc w:val="left"/>
      </w:pPr>
      <w:r>
        <w:rPr>
          <w:rFonts w:ascii="宋体" w:hAnsi="宋体" w:eastAsia="宋体"/>
          <w:b w:val="0"/>
          <w:sz w:val="24"/>
        </w:rPr>
        <w:t>本研究的核心贡献在于提出了面向自动化程序修复的多智能体协同框架 MACR，并通过代码知识图谱增强了智能体的结构化推理能力。结合当前软件工程领域的研究热点，论文计划投稿至以下顶级会议：</w:t>
      </w:r>
    </w:p>
    <w:p>
      <w:pPr>
        <w:spacing w:line="360" w:lineRule="auto" w:after="120" w:before="0"/>
        <w:ind w:firstLine="420"/>
        <w:jc w:val="left"/>
      </w:pPr>
      <w:r>
        <w:rPr>
          <w:rFonts w:ascii="宋体" w:hAnsi="宋体" w:eastAsia="宋体"/>
          <w:b w:val="0"/>
          <w:sz w:val="24"/>
        </w:rPr>
        <w:t>-   ICSE 2026（IEEE/ACM International Conference on Software Engineering）：软件工程领域最具影响力的综合性会议，重点关注软件工程方法与工具创新。</w:t>
      </w:r>
    </w:p>
    <w:p>
      <w:pPr>
        <w:spacing w:line="360" w:lineRule="auto" w:after="120" w:before="0"/>
        <w:ind w:firstLine="420"/>
        <w:jc w:val="left"/>
      </w:pPr>
      <w:r>
        <w:rPr>
          <w:rFonts w:ascii="宋体" w:hAnsi="宋体" w:eastAsia="宋体"/>
          <w:b w:val="0"/>
          <w:sz w:val="24"/>
        </w:rPr>
        <w:t>-   FSE 2026（ACM SIGSOFT International Symposium on Software Testing and Analysis）：聚焦软件测试与分析，APR 是其传统热点方向。</w:t>
      </w:r>
    </w:p>
    <w:p>
      <w:pPr>
        <w:spacing w:line="360" w:lineRule="auto" w:after="120" w:before="80"/>
        <w:ind w:firstLine="420"/>
        <w:jc w:val="left"/>
      </w:pPr>
      <w:r>
        <w:rPr>
          <w:rFonts w:ascii="宋体" w:hAnsi="宋体" w:eastAsia="宋体"/>
          <w:b/>
          <w:sz w:val="24"/>
        </w:rPr>
        <w:t>3.2 论文主要贡献</w:t>
      </w:r>
    </w:p>
    <w:p>
      <w:pPr>
        <w:spacing w:line="360" w:lineRule="auto" w:after="120" w:before="0"/>
        <w:ind w:firstLine="420"/>
        <w:jc w:val="left"/>
      </w:pPr>
      <w:r>
        <w:rPr>
          <w:rFonts w:ascii="宋体" w:hAnsi="宋体" w:eastAsia="宋体"/>
          <w:b w:val="0"/>
          <w:sz w:val="24"/>
        </w:rPr>
        <w:t>论文计划提出以下四点贡献：</w:t>
      </w:r>
    </w:p>
    <w:p>
      <w:pPr>
        <w:spacing w:line="360" w:lineRule="auto" w:after="120" w:before="0"/>
        <w:ind w:firstLine="420"/>
        <w:jc w:val="left"/>
      </w:pPr>
      <w:r>
        <w:rPr>
          <w:rFonts w:ascii="宋体" w:hAnsi="宋体" w:eastAsia="宋体"/>
          <w:b w:val="0"/>
          <w:sz w:val="24"/>
        </w:rPr>
        <w:t>1.  MACR 框架：首个将动态角色编排、迭代诊断反馈与代码知识图谱结合的 LLM-based APR 框架。</w:t>
      </w:r>
    </w:p>
    <w:p>
      <w:pPr>
        <w:spacing w:line="360" w:lineRule="auto" w:after="120" w:before="0"/>
        <w:ind w:firstLine="420"/>
        <w:jc w:val="left"/>
      </w:pPr>
      <w:r>
        <w:rPr>
          <w:rFonts w:ascii="宋体" w:hAnsi="宋体" w:eastAsia="宋体"/>
          <w:b w:val="0"/>
          <w:sz w:val="24"/>
        </w:rPr>
        <w:t>2.  面向 APR 的多智能体协同协议：设计了协调器驱动的任务分解、执行与反馈机制，避免了通用 MAS 框架在专用任务上的角色漂移问题。</w:t>
      </w:r>
    </w:p>
    <w:p>
      <w:pPr>
        <w:spacing w:line="360" w:lineRule="auto" w:after="120" w:before="0"/>
        <w:ind w:firstLine="420"/>
        <w:jc w:val="left"/>
      </w:pPr>
      <w:r>
        <w:rPr>
          <w:rFonts w:ascii="宋体" w:hAnsi="宋体" w:eastAsia="宋体"/>
          <w:b w:val="0"/>
          <w:sz w:val="24"/>
        </w:rPr>
        <w:t>3.  代码知识图谱增强的修复流程：通过 AST 构建动态 KG，为各子智能体提供结构化的代码上下文。</w:t>
      </w:r>
    </w:p>
    <w:p>
      <w:pPr>
        <w:spacing w:line="360" w:lineRule="auto" w:after="120" w:before="0"/>
        <w:ind w:firstLine="420"/>
        <w:jc w:val="left"/>
      </w:pPr>
      <w:r>
        <w:rPr>
          <w:rFonts w:ascii="宋体" w:hAnsi="宋体" w:eastAsia="宋体"/>
          <w:b w:val="0"/>
          <w:sz w:val="24"/>
        </w:rPr>
        <w:t>4.  QuixBugs 系统评估：实验表明 MACR 在 QuixBugs 上达到 55% 的修复率，并通过消融实验验证了多智能体分工与 KG 的有效性。</w:t>
      </w:r>
    </w:p>
    <w:p>
      <w:pPr>
        <w:spacing w:line="360" w:lineRule="auto" w:after="120" w:before="80"/>
        <w:ind w:firstLine="420"/>
        <w:jc w:val="left"/>
      </w:pPr>
      <w:r>
        <w:rPr>
          <w:rFonts w:ascii="宋体" w:hAnsi="宋体" w:eastAsia="宋体"/>
          <w:b/>
          <w:sz w:val="24"/>
        </w:rPr>
        <w:t>3.3 论文结构与进度</w:t>
      </w:r>
    </w:p>
    <w:p>
      <w:pPr>
        <w:spacing w:line="360" w:lineRule="auto" w:after="120" w:before="0"/>
        <w:ind w:firstLine="420"/>
        <w:jc w:val="left"/>
      </w:pPr>
      <w:r>
        <w:rPr>
          <w:rFonts w:ascii="宋体" w:hAnsi="宋体" w:eastAsia="宋体"/>
          <w:b w:val="0"/>
          <w:sz w:val="24"/>
        </w:rPr>
        <w:t>论文初稿结构如下：</w:t>
      </w:r>
    </w:p>
    <w:p>
      <w:pPr>
        <w:spacing w:line="360" w:lineRule="auto" w:after="120" w:before="0"/>
        <w:ind w:firstLine="420"/>
        <w:jc w:val="left"/>
      </w:pPr>
      <w:r>
        <w:rPr>
          <w:rFonts w:ascii="宋体" w:hAnsi="宋体" w:eastAsia="宋体"/>
          <w:b w:val="0"/>
          <w:sz w:val="24"/>
        </w:rPr>
        <w:t>章节              内容                             进度</w:t>
      </w:r>
    </w:p>
    <w:p>
      <w:pPr>
        <w:spacing w:line="360" w:lineRule="auto" w:after="120" w:before="0"/>
        <w:ind w:firstLine="420"/>
        <w:jc w:val="left"/>
      </w:pPr>
      <w:r>
        <w:rPr>
          <w:rFonts w:ascii="宋体" w:hAnsi="宋体" w:eastAsia="宋体"/>
          <w:b w:val="0"/>
          <w:sz w:val="24"/>
        </w:rPr>
        <w:t>----------------- -------------------------------- --------</w:t>
      </w:r>
    </w:p>
    <w:p>
      <w:pPr>
        <w:spacing w:line="360" w:lineRule="auto" w:after="120" w:before="0"/>
        <w:ind w:firstLine="420"/>
        <w:jc w:val="left"/>
      </w:pPr>
      <w:r>
        <w:rPr>
          <w:rFonts w:ascii="宋体" w:hAnsi="宋体" w:eastAsia="宋体"/>
          <w:b w:val="0"/>
          <w:sz w:val="24"/>
        </w:rPr>
        <w:t>1. Introduction   研究背景、问题、贡献             已完成</w:t>
      </w:r>
    </w:p>
    <w:p>
      <w:pPr>
        <w:spacing w:line="360" w:lineRule="auto" w:after="120" w:before="0"/>
        <w:ind w:firstLine="420"/>
        <w:jc w:val="left"/>
      </w:pPr>
      <w:r>
        <w:rPr>
          <w:rFonts w:ascii="宋体" w:hAnsi="宋体" w:eastAsia="宋体"/>
          <w:b w:val="0"/>
          <w:sz w:val="24"/>
        </w:rPr>
        <w:t>2. Background     APR 与 MAS 基础                  已完成</w:t>
      </w:r>
    </w:p>
    <w:p>
      <w:pPr>
        <w:spacing w:line="360" w:lineRule="auto" w:after="120" w:before="0"/>
        <w:ind w:firstLine="420"/>
        <w:jc w:val="left"/>
      </w:pPr>
      <w:r>
        <w:rPr>
          <w:rFonts w:ascii="宋体" w:hAnsi="宋体" w:eastAsia="宋体"/>
          <w:b w:val="0"/>
          <w:sz w:val="24"/>
        </w:rPr>
        <w:t>3. Related Work   传统 APR、LLM APR、Agentic APR   已完成</w:t>
      </w:r>
    </w:p>
    <w:p>
      <w:pPr>
        <w:spacing w:line="360" w:lineRule="auto" w:after="120" w:before="0"/>
        <w:ind w:firstLine="420"/>
        <w:jc w:val="left"/>
      </w:pPr>
      <w:r>
        <w:rPr>
          <w:rFonts w:ascii="宋体" w:hAnsi="宋体" w:eastAsia="宋体"/>
          <w:b w:val="0"/>
          <w:sz w:val="24"/>
        </w:rPr>
        <w:t>4. Methodology    MACR 框架详细设计                已完成</w:t>
      </w:r>
    </w:p>
    <w:p>
      <w:pPr>
        <w:spacing w:line="360" w:lineRule="auto" w:after="120" w:before="0"/>
        <w:ind w:firstLine="420"/>
        <w:jc w:val="left"/>
      </w:pPr>
      <w:r>
        <w:rPr>
          <w:rFonts w:ascii="宋体" w:hAnsi="宋体" w:eastAsia="宋体"/>
          <w:b w:val="0"/>
          <w:sz w:val="24"/>
        </w:rPr>
        <w:t>5. Evaluation     QuixBugs 实验与消融分析          已完成</w:t>
      </w:r>
    </w:p>
    <w:p>
      <w:pPr>
        <w:spacing w:line="360" w:lineRule="auto" w:after="120" w:before="0"/>
        <w:ind w:firstLine="420"/>
        <w:jc w:val="left"/>
      </w:pPr>
      <w:r>
        <w:rPr>
          <w:rFonts w:ascii="宋体" w:hAnsi="宋体" w:eastAsia="宋体"/>
          <w:b w:val="0"/>
          <w:sz w:val="24"/>
        </w:rPr>
        <w:t>6. Discussion     失败模式、局限与未来工作         初稿</w:t>
      </w:r>
    </w:p>
    <w:p>
      <w:pPr>
        <w:spacing w:line="360" w:lineRule="auto" w:after="120" w:before="0"/>
        <w:ind w:firstLine="420"/>
        <w:jc w:val="left"/>
      </w:pPr>
      <w:r>
        <w:rPr>
          <w:rFonts w:ascii="宋体" w:hAnsi="宋体" w:eastAsia="宋体"/>
          <w:b w:val="0"/>
          <w:sz w:val="24"/>
        </w:rPr>
        <w:t>7. Conclusion     总结                             初稿</w:t>
      </w:r>
    </w:p>
    <w:p>
      <w:pPr>
        <w:spacing w:line="360" w:lineRule="auto" w:after="120" w:before="0"/>
        <w:ind w:firstLine="420"/>
        <w:jc w:val="left"/>
      </w:pPr>
      <w:r>
        <w:rPr>
          <w:rFonts w:ascii="宋体" w:hAnsi="宋体" w:eastAsia="宋体"/>
          <w:b w:val="0"/>
          <w:sz w:val="24"/>
        </w:rPr>
        <w:t>: 论文各章节进度 {#tab:paper-progress}</w:t>
      </w:r>
    </w:p>
    <w:p>
      <w:pPr>
        <w:spacing w:line="360" w:lineRule="auto" w:after="120" w:before="0"/>
        <w:ind w:firstLine="420"/>
        <w:jc w:val="left"/>
      </w:pPr>
      <w:r>
        <w:rPr>
          <w:rFonts w:ascii="宋体" w:hAnsi="宋体" w:eastAsia="宋体"/>
          <w:b w:val="0"/>
          <w:sz w:val="24"/>
        </w:rPr>
        <w:t>会议        截稿日期（预计）   投稿计划</w:t>
      </w:r>
    </w:p>
    <w:p>
      <w:pPr>
        <w:spacing w:line="360" w:lineRule="auto" w:after="120" w:before="0"/>
        <w:ind w:firstLine="420"/>
        <w:jc w:val="left"/>
      </w:pPr>
      <w:r>
        <w:rPr>
          <w:rFonts w:ascii="宋体" w:hAnsi="宋体" w:eastAsia="宋体"/>
          <w:b w:val="0"/>
          <w:sz w:val="24"/>
        </w:rPr>
        <w:t>----------- ------------------ ----------</w:t>
      </w:r>
    </w:p>
    <w:p>
      <w:pPr>
        <w:spacing w:line="360" w:lineRule="auto" w:after="120" w:before="0"/>
        <w:ind w:firstLine="420"/>
        <w:jc w:val="left"/>
      </w:pPr>
      <w:r>
        <w:rPr>
          <w:rFonts w:ascii="宋体" w:hAnsi="宋体" w:eastAsia="宋体"/>
          <w:b w:val="0"/>
          <w:sz w:val="24"/>
        </w:rPr>
        <w:t>ICSE 2026   2025 年 12 月      目标投稿</w:t>
      </w:r>
    </w:p>
    <w:p>
      <w:pPr>
        <w:spacing w:line="360" w:lineRule="auto" w:after="120" w:before="0"/>
        <w:ind w:firstLine="420"/>
        <w:jc w:val="left"/>
      </w:pPr>
      <w:r>
        <w:rPr>
          <w:rFonts w:ascii="宋体" w:hAnsi="宋体" w:eastAsia="宋体"/>
          <w:b w:val="0"/>
          <w:sz w:val="24"/>
        </w:rPr>
        <w:t>FSE 2026    2026 年 2 月       备选投稿</w:t>
      </w:r>
    </w:p>
    <w:p>
      <w:pPr>
        <w:spacing w:line="360" w:lineRule="auto" w:after="120" w:before="0"/>
        <w:ind w:firstLine="420"/>
        <w:jc w:val="left"/>
      </w:pPr>
      <w:r>
        <w:rPr>
          <w:rFonts w:ascii="宋体" w:hAnsi="宋体" w:eastAsia="宋体"/>
          <w:b w:val="0"/>
          <w:sz w:val="24"/>
        </w:rPr>
        <w:t>: 目标会议投稿计划 {#tab:submission-plan}</w:t>
      </w:r>
    </w:p>
    <w:p>
      <w:pPr>
        <w:spacing w:line="360" w:lineRule="auto" w:after="120" w:before="80"/>
        <w:ind w:firstLine="420"/>
        <w:jc w:val="left"/>
      </w:pPr>
      <w:r>
        <w:rPr>
          <w:rFonts w:ascii="宋体" w:hAnsi="宋体" w:eastAsia="宋体"/>
          <w:b/>
          <w:sz w:val="24"/>
        </w:rPr>
        <w:t>3.4 现有支撑成果</w:t>
      </w:r>
    </w:p>
    <w:p>
      <w:pPr>
        <w:spacing w:line="360" w:lineRule="auto" w:after="120" w:before="0"/>
        <w:ind w:firstLine="420"/>
        <w:jc w:val="left"/>
      </w:pPr>
      <w:r>
        <w:rPr>
          <w:rFonts w:ascii="宋体" w:hAnsi="宋体" w:eastAsia="宋体"/>
          <w:b w:val="0"/>
          <w:sz w:val="24"/>
        </w:rPr>
        <w:t>项目前期已在工具实现与数据集建设方面取得阶段性成果，并已形成可运行的 MACR 原型系统。相关代码与实验结果已整理至 src/macr/、tests/ 与 outputs/quixbugs/ 目录，为论文的复现提供了基础。</w:t>
      </w:r>
    </w:p>
    <w:p>
      <w:pPr>
        <w:spacing w:line="360" w:lineRule="auto" w:after="120" w:before="160"/>
        <w:ind w:firstLine="420"/>
        <w:jc w:val="left"/>
      </w:pPr>
      <w:r>
        <w:rPr>
          <w:rFonts w:ascii="宋体" w:hAnsi="宋体" w:eastAsia="宋体"/>
          <w:b/>
          <w:sz w:val="24"/>
        </w:rPr>
        <w:t>4 下一步研究计划及论文工作计划</w:t>
      </w:r>
    </w:p>
    <w:p>
      <w:pPr>
        <w:spacing w:line="360" w:lineRule="auto" w:after="120" w:before="80"/>
        <w:ind w:firstLine="420"/>
        <w:jc w:val="left"/>
      </w:pPr>
      <w:r>
        <w:rPr>
          <w:rFonts w:ascii="宋体" w:hAnsi="宋体" w:eastAsia="宋体"/>
          <w:b/>
          <w:sz w:val="24"/>
        </w:rPr>
        <w:t>4.1 技术路线</w:t>
      </w:r>
    </w:p>
    <w:p>
      <w:pPr>
        <w:spacing w:line="360" w:lineRule="auto" w:after="120" w:before="80"/>
        <w:ind w:firstLine="420"/>
        <w:jc w:val="left"/>
      </w:pPr>
      <w:r>
        <w:rPr>
          <w:rFonts w:ascii="宋体" w:hAnsi="宋体" w:eastAsia="宋体"/>
          <w:b/>
          <w:sz w:val="24"/>
        </w:rPr>
        <w:t>4.1.1 提升修复能力</w:t>
      </w:r>
    </w:p>
    <w:p>
      <w:pPr>
        <w:spacing w:line="360" w:lineRule="auto" w:after="120" w:before="0"/>
        <w:ind w:firstLine="420"/>
        <w:jc w:val="left"/>
      </w:pPr>
      <w:r>
        <w:rPr>
          <w:rFonts w:ascii="宋体" w:hAnsi="宋体" w:eastAsia="宋体"/>
          <w:b w:val="0"/>
          <w:sz w:val="24"/>
        </w:rPr>
        <w:t>当前 MACR 在 QuixBugs 上的修复率为 55%，下一步将从以下方向提升：</w:t>
      </w:r>
    </w:p>
    <w:p>
      <w:pPr>
        <w:spacing w:line="360" w:lineRule="auto" w:after="120" w:before="0"/>
        <w:ind w:firstLine="420"/>
        <w:jc w:val="left"/>
      </w:pPr>
      <w:r>
        <w:rPr>
          <w:rFonts w:ascii="宋体" w:hAnsi="宋体" w:eastAsia="宋体"/>
          <w:b w:val="0"/>
          <w:sz w:val="24"/>
        </w:rPr>
        <w:t>1.  跨文件缺陷修复：扩展 KG 的构建范围，支持多文件、跨模块依赖分析，以处理 Defects4J 等更真实的数据集 [1]。</w:t>
      </w:r>
    </w:p>
    <w:p>
      <w:pPr>
        <w:spacing w:line="360" w:lineRule="auto" w:after="120" w:before="0"/>
        <w:ind w:firstLine="420"/>
        <w:jc w:val="left"/>
      </w:pPr>
      <w:r>
        <w:rPr>
          <w:rFonts w:ascii="宋体" w:hAnsi="宋体" w:eastAsia="宋体"/>
          <w:b w:val="0"/>
          <w:sz w:val="24"/>
        </w:rPr>
        <w:t>2.  强化反馈机制：引入更细粒度的测试失败定位与补丁差异分析，提升 Diagnosis Agent 的建议质量。</w:t>
      </w:r>
    </w:p>
    <w:p>
      <w:pPr>
        <w:spacing w:line="360" w:lineRule="auto" w:after="120" w:before="0"/>
        <w:ind w:firstLine="420"/>
        <w:jc w:val="left"/>
      </w:pPr>
      <w:r>
        <w:rPr>
          <w:rFonts w:ascii="宋体" w:hAnsi="宋体" w:eastAsia="宋体"/>
          <w:b w:val="0"/>
          <w:sz w:val="24"/>
        </w:rPr>
        <w:t>3.  智能采样策略：结合 RepairAgent 与 SWE-agent 的工具调用思想，在生成前主动检索相关文件与文档，减少上下文不足导致的失败 [2], [3]。</w:t>
      </w:r>
    </w:p>
    <w:p>
      <w:pPr>
        <w:spacing w:line="360" w:lineRule="auto" w:after="120" w:before="0"/>
        <w:ind w:firstLine="420"/>
        <w:jc w:val="left"/>
      </w:pPr>
      <w:r>
        <w:rPr>
          <w:rFonts w:ascii="宋体" w:hAnsi="宋体" w:eastAsia="宋体"/>
          <w:b w:val="0"/>
          <w:sz w:val="24"/>
        </w:rPr>
        <w:t>4.  模型能力提升：探索 DeepSeek-Coder-V2 等更强大的代码模型在 MACR 框架下的表现 [4]。</w:t>
      </w:r>
    </w:p>
    <w:p>
      <w:pPr>
        <w:spacing w:line="360" w:lineRule="auto" w:after="120" w:before="80"/>
        <w:ind w:firstLine="420"/>
        <w:jc w:val="left"/>
      </w:pPr>
      <w:r>
        <w:rPr>
          <w:rFonts w:ascii="宋体" w:hAnsi="宋体" w:eastAsia="宋体"/>
          <w:b/>
          <w:sz w:val="24"/>
        </w:rPr>
        <w:t>4.1.2 多智能体协同机制优化</w:t>
      </w:r>
    </w:p>
    <w:p>
      <w:pPr>
        <w:spacing w:line="360" w:lineRule="auto" w:after="120" w:before="0"/>
        <w:ind w:firstLine="420"/>
        <w:jc w:val="left"/>
      </w:pPr>
      <w:r>
        <w:rPr>
          <w:rFonts w:ascii="宋体" w:hAnsi="宋体" w:eastAsia="宋体"/>
          <w:b w:val="0"/>
          <w:sz w:val="24"/>
        </w:rPr>
        <w:t>针对 Cemri 等人揭示的多智能体失败模式 [5]，MACR 将重点优化以下方面：</w:t>
      </w:r>
    </w:p>
    <w:p>
      <w:pPr>
        <w:spacing w:line="360" w:lineRule="auto" w:after="120" w:before="0"/>
        <w:ind w:firstLine="420"/>
        <w:jc w:val="left"/>
      </w:pPr>
      <w:r>
        <w:rPr>
          <w:rFonts w:ascii="宋体" w:hAnsi="宋体" w:eastAsia="宋体"/>
          <w:b w:val="0"/>
          <w:sz w:val="24"/>
        </w:rPr>
        <w:t>-   任务规范强化：在协调器中为每个子智能体设定更明确的输入输出规范与终止条件。</w:t>
      </w:r>
    </w:p>
    <w:p>
      <w:pPr>
        <w:spacing w:line="360" w:lineRule="auto" w:after="120" w:before="0"/>
        <w:ind w:firstLine="420"/>
        <w:jc w:val="left"/>
      </w:pPr>
      <w:r>
        <w:rPr>
          <w:rFonts w:ascii="宋体" w:hAnsi="宋体" w:eastAsia="宋体"/>
          <w:b w:val="0"/>
          <w:sz w:val="24"/>
        </w:rPr>
        <w:t>-   智能体对齐机制：引入交叉检查（cross-verification）与一致性约束，减少智能体间信息偏差。</w:t>
      </w:r>
    </w:p>
    <w:p>
      <w:pPr>
        <w:spacing w:line="360" w:lineRule="auto" w:after="120" w:before="0"/>
        <w:ind w:firstLine="420"/>
        <w:jc w:val="left"/>
      </w:pPr>
      <w:r>
        <w:rPr>
          <w:rFonts w:ascii="宋体" w:hAnsi="宋体" w:eastAsia="宋体"/>
          <w:b w:val="0"/>
          <w:sz w:val="24"/>
        </w:rPr>
        <w:t>-   动态角色调整：借鉴 AgentDropout 的自适应智能体选择策略 [6]，根据问题复杂度动态增减参与修复的智能体数量。</w:t>
      </w:r>
    </w:p>
    <w:p>
      <w:pPr>
        <w:spacing w:line="360" w:lineRule="auto" w:after="120" w:before="80"/>
        <w:ind w:firstLine="420"/>
        <w:jc w:val="left"/>
      </w:pPr>
      <w:r>
        <w:rPr>
          <w:rFonts w:ascii="宋体" w:hAnsi="宋体" w:eastAsia="宋体"/>
          <w:b/>
          <w:sz w:val="24"/>
        </w:rPr>
        <w:t>4.1.3 知识图谱扩展</w:t>
      </w:r>
    </w:p>
    <w:p>
      <w:pPr>
        <w:spacing w:line="360" w:lineRule="auto" w:after="120" w:before="0"/>
        <w:ind w:firstLine="420"/>
        <w:jc w:val="left"/>
      </w:pPr>
      <w:r>
        <w:rPr>
          <w:rFonts w:ascii="宋体" w:hAnsi="宋体" w:eastAsia="宋体"/>
          <w:b w:val="0"/>
          <w:sz w:val="24"/>
        </w:rPr>
        <w:t>代码 KG 的覆盖范围与质量直接影响 MACR 的效果。下一步工作包括：</w:t>
      </w:r>
    </w:p>
    <w:p>
      <w:pPr>
        <w:spacing w:line="360" w:lineRule="auto" w:after="120" w:before="0"/>
        <w:ind w:firstLine="420"/>
        <w:jc w:val="left"/>
      </w:pPr>
      <w:r>
        <w:rPr>
          <w:rFonts w:ascii="宋体" w:hAnsi="宋体" w:eastAsia="宋体"/>
          <w:b w:val="0"/>
          <w:sz w:val="24"/>
        </w:rPr>
        <w:t>-   引入程序依赖图（PDG）与控制流图（CFG）信息，丰富 KG 的语义表达能力。</w:t>
      </w:r>
    </w:p>
    <w:p>
      <w:pPr>
        <w:spacing w:line="360" w:lineRule="auto" w:after="120" w:before="0"/>
        <w:ind w:firstLine="420"/>
        <w:jc w:val="left"/>
      </w:pPr>
      <w:r>
        <w:rPr>
          <w:rFonts w:ascii="宋体" w:hAnsi="宋体" w:eastAsia="宋体"/>
          <w:b w:val="0"/>
          <w:sz w:val="24"/>
        </w:rPr>
        <w:t>-   探索 KG 与检索增强生成（RAG）的结合，将外部 API 文档与项目特定知识纳入上下文。</w:t>
      </w:r>
    </w:p>
    <w:p>
      <w:pPr>
        <w:spacing w:line="360" w:lineRule="auto" w:after="120" w:before="0"/>
        <w:ind w:firstLine="420"/>
        <w:jc w:val="left"/>
      </w:pPr>
      <w:r>
        <w:rPr>
          <w:rFonts w:ascii="宋体" w:hAnsi="宋体" w:eastAsia="宋体"/>
          <w:b w:val="0"/>
          <w:sz w:val="24"/>
        </w:rPr>
        <w:t>-   研究 KG 的增量更新策略，在补丁生成过程中动态反映代码变化。</w:t>
      </w:r>
    </w:p>
    <w:p>
      <w:pPr>
        <w:spacing w:line="360" w:lineRule="auto" w:after="120" w:before="80"/>
        <w:ind w:firstLine="420"/>
        <w:jc w:val="left"/>
      </w:pPr>
      <w:r>
        <w:rPr>
          <w:rFonts w:ascii="宋体" w:hAnsi="宋体" w:eastAsia="宋体"/>
          <w:b/>
          <w:sz w:val="24"/>
        </w:rPr>
        <w:t>4.2 论文工作计划</w:t>
      </w:r>
    </w:p>
    <w:p>
      <w:pPr>
        <w:spacing w:line="360" w:lineRule="auto" w:after="120" w:before="0"/>
        <w:ind w:firstLine="420"/>
        <w:jc w:val="left"/>
      </w:pPr>
      <w:r>
        <w:rPr>
          <w:rFonts w:ascii="宋体" w:hAnsi="宋体" w:eastAsia="宋体"/>
          <w:b w:val="0"/>
          <w:sz w:val="24"/>
        </w:rPr>
        <w:t>时间节点        任务                  预期产出</w:t>
      </w:r>
    </w:p>
    <w:p>
      <w:pPr>
        <w:spacing w:line="360" w:lineRule="auto" w:after="120" w:before="0"/>
        <w:ind w:firstLine="420"/>
        <w:jc w:val="left"/>
      </w:pPr>
      <w:r>
        <w:rPr>
          <w:rFonts w:ascii="宋体" w:hAnsi="宋体" w:eastAsia="宋体"/>
          <w:b w:val="0"/>
          <w:sz w:val="24"/>
        </w:rPr>
        <w:t>--------------- --------------------- --------------</w:t>
      </w:r>
    </w:p>
    <w:p>
      <w:pPr>
        <w:spacing w:line="360" w:lineRule="auto" w:after="120" w:before="0"/>
        <w:ind w:firstLine="420"/>
        <w:jc w:val="left"/>
      </w:pPr>
      <w:r>
        <w:rPr>
          <w:rFonts w:ascii="宋体" w:hAnsi="宋体" w:eastAsia="宋体"/>
          <w:b w:val="0"/>
          <w:sz w:val="24"/>
        </w:rPr>
        <w:t>2025 年 7 月    完成论文初稿          完整论文手稿</w:t>
      </w:r>
    </w:p>
    <w:p>
      <w:pPr>
        <w:spacing w:line="360" w:lineRule="auto" w:after="120" w:before="0"/>
        <w:ind w:firstLine="420"/>
        <w:jc w:val="left"/>
      </w:pPr>
      <w:r>
        <w:rPr>
          <w:rFonts w:ascii="宋体" w:hAnsi="宋体" w:eastAsia="宋体"/>
          <w:b w:val="0"/>
          <w:sz w:val="24"/>
        </w:rPr>
        <w:t>2025 年 8 月    内部审稿与修改        修改后论文</w:t>
      </w:r>
    </w:p>
    <w:p>
      <w:pPr>
        <w:spacing w:line="360" w:lineRule="auto" w:after="120" w:before="0"/>
        <w:ind w:firstLine="420"/>
        <w:jc w:val="left"/>
      </w:pPr>
      <w:r>
        <w:rPr>
          <w:rFonts w:ascii="宋体" w:hAnsi="宋体" w:eastAsia="宋体"/>
          <w:b w:val="0"/>
          <w:sz w:val="24"/>
        </w:rPr>
        <w:t>2025 年 9 月    补充 Defects4J 实验   扩展实验结果</w:t>
      </w:r>
    </w:p>
    <w:p>
      <w:pPr>
        <w:spacing w:line="360" w:lineRule="auto" w:after="120" w:before="0"/>
        <w:ind w:firstLine="420"/>
        <w:jc w:val="left"/>
      </w:pPr>
      <w:r>
        <w:rPr>
          <w:rFonts w:ascii="宋体" w:hAnsi="宋体" w:eastAsia="宋体"/>
          <w:b w:val="0"/>
          <w:sz w:val="24"/>
        </w:rPr>
        <w:t>2025 年 10 月   论文精修与格式调整    投稿版本</w:t>
      </w:r>
    </w:p>
    <w:p>
      <w:pPr>
        <w:spacing w:line="360" w:lineRule="auto" w:after="120" w:before="0"/>
        <w:ind w:firstLine="420"/>
        <w:jc w:val="left"/>
      </w:pPr>
      <w:r>
        <w:rPr>
          <w:rFonts w:ascii="宋体" w:hAnsi="宋体" w:eastAsia="宋体"/>
          <w:b w:val="0"/>
          <w:sz w:val="24"/>
        </w:rPr>
        <w:t>2025 年 12 月   投稿 ICSE 2026        投稿确认</w:t>
      </w:r>
    </w:p>
    <w:p>
      <w:pPr>
        <w:spacing w:line="360" w:lineRule="auto" w:after="120" w:before="0"/>
        <w:ind w:firstLine="420"/>
        <w:jc w:val="left"/>
      </w:pPr>
      <w:r>
        <w:rPr>
          <w:rFonts w:ascii="宋体" w:hAnsi="宋体" w:eastAsia="宋体"/>
          <w:b w:val="0"/>
          <w:sz w:val="24"/>
        </w:rPr>
        <w:t>: 下一步工作计划 {#tab:plan}</w:t>
      </w:r>
    </w:p>
    <w:p>
      <w:pPr>
        <w:spacing w:line="360" w:lineRule="auto" w:after="120" w:before="80"/>
        <w:ind w:firstLine="420"/>
        <w:jc w:val="left"/>
      </w:pPr>
      <w:r>
        <w:rPr>
          <w:rFonts w:ascii="宋体" w:hAnsi="宋体" w:eastAsia="宋体"/>
          <w:b/>
          <w:sz w:val="24"/>
        </w:rPr>
        <w:t>4.3 风险评估与应对措施</w:t>
      </w:r>
    </w:p>
    <w:p>
      <w:pPr>
        <w:spacing w:line="360" w:lineRule="auto" w:after="120" w:before="0"/>
        <w:ind w:firstLine="420"/>
        <w:jc w:val="left"/>
      </w:pPr>
      <w:r>
        <w:rPr>
          <w:rFonts w:ascii="宋体" w:hAnsi="宋体" w:eastAsia="宋体"/>
          <w:b w:val="0"/>
          <w:sz w:val="24"/>
        </w:rPr>
        <w:t>----------------------------------------------------------------------------------</w:t>
      </w:r>
    </w:p>
    <w:p>
      <w:pPr>
        <w:spacing w:line="360" w:lineRule="auto" w:after="120" w:before="0"/>
        <w:ind w:firstLine="420"/>
        <w:jc w:val="left"/>
      </w:pPr>
      <w:r>
        <w:rPr>
          <w:rFonts w:ascii="宋体" w:hAnsi="宋体" w:eastAsia="宋体"/>
          <w:b w:val="0"/>
          <w:sz w:val="24"/>
        </w:rPr>
        <w:t>风险                     影响                 应对措施</w:t>
      </w:r>
    </w:p>
    <w:p>
      <w:pPr>
        <w:spacing w:line="360" w:lineRule="auto" w:after="120" w:before="0"/>
        <w:ind w:firstLine="420"/>
        <w:jc w:val="left"/>
      </w:pPr>
      <w:r>
        <w:rPr>
          <w:rFonts w:ascii="宋体" w:hAnsi="宋体" w:eastAsia="宋体"/>
          <w:b w:val="0"/>
          <w:sz w:val="24"/>
        </w:rPr>
        <w:t>------------------------ -------------------- ------------------------------------</w:t>
      </w:r>
    </w:p>
    <w:p>
      <w:pPr>
        <w:spacing w:line="360" w:lineRule="auto" w:after="120" w:before="0"/>
        <w:ind w:firstLine="420"/>
        <w:jc w:val="left"/>
      </w:pPr>
      <w:r>
        <w:rPr>
          <w:rFonts w:ascii="宋体" w:hAnsi="宋体" w:eastAsia="宋体"/>
          <w:b w:val="0"/>
          <w:sz w:val="24"/>
        </w:rPr>
        <w:t>Defects4J 实验成本过高   时间延误             采用分层采样，优先验证高可疑度缺陷</w:t>
      </w:r>
    </w:p>
    <w:p>
      <w:pPr>
        <w:spacing w:line="360" w:lineRule="auto" w:after="120" w:before="0"/>
        <w:ind w:firstLine="420"/>
        <w:jc w:val="left"/>
      </w:pPr>
      <w:r>
        <w:rPr>
          <w:rFonts w:ascii="宋体" w:hAnsi="宋体" w:eastAsia="宋体"/>
          <w:b w:val="0"/>
          <w:sz w:val="24"/>
        </w:rPr>
        <w:t>多智能体通信不稳定       修复率波动           固化协调协议，增加状态检查点</w:t>
      </w:r>
    </w:p>
    <w:p>
      <w:pPr>
        <w:spacing w:line="360" w:lineRule="auto" w:after="120" w:before="0"/>
        <w:ind w:firstLine="420"/>
        <w:jc w:val="left"/>
      </w:pPr>
      <w:r>
        <w:rPr>
          <w:rFonts w:ascii="宋体" w:hAnsi="宋体" w:eastAsia="宋体"/>
          <w:b w:val="0"/>
          <w:sz w:val="24"/>
        </w:rPr>
        <w:t>论文审稿周期长           错过目标会议         同时准备 FSE 2026 等备选会议</w:t>
      </w:r>
    </w:p>
    <w:p>
      <w:pPr>
        <w:spacing w:line="360" w:lineRule="auto" w:after="120" w:before="0"/>
        <w:ind w:firstLine="420"/>
        <w:jc w:val="left"/>
      </w:pPr>
      <w:r>
        <w:rPr>
          <w:rFonts w:ascii="宋体" w:hAnsi="宋体" w:eastAsia="宋体"/>
          <w:b w:val="0"/>
          <w:sz w:val="24"/>
        </w:rPr>
        <w:t>----------------------------------------------------------------------------------</w:t>
      </w:r>
    </w:p>
    <w:p>
      <w:pPr>
        <w:spacing w:line="360" w:lineRule="auto" w:after="120" w:before="0"/>
        <w:ind w:firstLine="420"/>
        <w:jc w:val="left"/>
      </w:pPr>
      <w:r>
        <w:rPr>
          <w:rFonts w:ascii="宋体" w:hAnsi="宋体" w:eastAsia="宋体"/>
          <w:b w:val="0"/>
          <w:sz w:val="24"/>
        </w:rPr>
        <w:t>: 项目风险与应对措施 {#tab:risk}</w:t>
      </w:r>
    </w:p>
    <w:p>
      <w:pPr>
        <w:spacing w:line="360" w:lineRule="auto" w:after="120" w:before="80"/>
        <w:ind w:firstLine="420"/>
        <w:jc w:val="left"/>
      </w:pPr>
      <w:r>
        <w:rPr>
          <w:rFonts w:ascii="宋体" w:hAnsi="宋体" w:eastAsia="宋体"/>
          <w:b/>
          <w:sz w:val="24"/>
        </w:rPr>
        <w:t>4.4 总结</w:t>
      </w:r>
    </w:p>
    <w:p>
      <w:pPr>
        <w:spacing w:line="360" w:lineRule="auto" w:after="120" w:before="0"/>
        <w:ind w:firstLine="420"/>
        <w:jc w:val="left"/>
      </w:pPr>
      <w:r>
        <w:rPr>
          <w:rFonts w:ascii="宋体" w:hAnsi="宋体" w:eastAsia="宋体"/>
          <w:b w:val="0"/>
          <w:sz w:val="24"/>
        </w:rPr>
        <w:t>本阶段工作围绕 MACR 框架的设计、实现与初步评估展开，已在 QuixBugs 数据集上取得 55% 的修复率。下一步将重点提升跨文件修复能力、优化多智能体协同机制，并在更真实的数据集上验证方法有效性，力争在 ICSE 2026 或 FSE 2026 上发表高水平论文。</w:t>
      </w:r>
    </w:p>
    <w:p>
      <w:pPr>
        <w:spacing w:line="360" w:lineRule="auto" w:after="120" w:before="0"/>
        <w:ind w:firstLine="420"/>
        <w:jc w:val="left"/>
      </w:pPr>
      <w:r>
        <w:rPr>
          <w:rFonts w:ascii="宋体" w:hAnsi="宋体" w:eastAsia="宋体"/>
          <w:b w:val="0"/>
          <w:sz w:val="24"/>
        </w:rPr>
        <w:t>[1] R. Just, D. Jalali, and M. D. Ernst, “Defects4J: A database of existing faults to enable controlled testing studies for java programs,” in Proceedings of the 2014 international symposium on software testing and analysis, San Jose, CA, USA: ACM, 2014, pp. 437–440. doi: 10.1145/2610384.2628055.</w:t>
      </w:r>
    </w:p>
    <w:p>
      <w:pPr>
        <w:spacing w:line="360" w:lineRule="auto" w:after="120" w:before="0"/>
        <w:ind w:firstLine="420"/>
        <w:jc w:val="left"/>
      </w:pPr>
      <w:r>
        <w:rPr>
          <w:rFonts w:ascii="宋体" w:hAnsi="宋体" w:eastAsia="宋体"/>
          <w:b w:val="0"/>
          <w:sz w:val="24"/>
        </w:rPr>
        <w:t>[2] I. Bouzenia, P. Devanbu, and M. Pradel, “RepairAgent: An autonomous, LLM-based agent for program repair.” arXiv, Oct. 28, 2024. doi: 10.48550/arXiv.2403.17134.</w:t>
      </w:r>
    </w:p>
    <w:p>
      <w:pPr>
        <w:spacing w:line="360" w:lineRule="auto" w:after="120" w:before="0"/>
        <w:ind w:firstLine="420"/>
        <w:jc w:val="left"/>
      </w:pPr>
      <w:r>
        <w:rPr>
          <w:rFonts w:ascii="宋体" w:hAnsi="宋体" w:eastAsia="宋体"/>
          <w:b w:val="0"/>
          <w:sz w:val="24"/>
        </w:rPr>
        <w:t>[3] J. Yang et al., “SWE-agent: Agent-computer interfaces enable automated software engineering.” arXiv, Nov. 11, 2024. doi: 10.48550/arXiv.2405.15793.</w:t>
      </w:r>
    </w:p>
    <w:p>
      <w:pPr>
        <w:spacing w:line="360" w:lineRule="auto" w:after="120" w:before="0"/>
        <w:ind w:firstLine="420"/>
        <w:jc w:val="left"/>
      </w:pPr>
      <w:r>
        <w:rPr>
          <w:rFonts w:ascii="宋体" w:hAnsi="宋体" w:eastAsia="宋体"/>
          <w:b w:val="0"/>
          <w:sz w:val="24"/>
        </w:rPr>
        <w:t>[4] DeepSeek-AI et al., “DeepSeek-coder-V2: Breaking the barrier of closed-source models in code intelligence.” arXiv, Jun. 17, 2024. doi: 10.48550/arXiv.2406.11931.</w:t>
      </w:r>
    </w:p>
    <w:p>
      <w:pPr>
        <w:spacing w:line="360" w:lineRule="auto" w:after="120" w:before="0"/>
        <w:ind w:firstLine="420"/>
        <w:jc w:val="left"/>
      </w:pPr>
      <w:r>
        <w:rPr>
          <w:rFonts w:ascii="宋体" w:hAnsi="宋体" w:eastAsia="宋体"/>
          <w:b w:val="0"/>
          <w:sz w:val="24"/>
        </w:rPr>
        <w:t>[5] M. Cemri et al., “Why do multi-agent LLM systems fail?”</w:t>
      </w:r>
    </w:p>
    <w:p>
      <w:pPr>
        <w:spacing w:line="360" w:lineRule="auto" w:after="120" w:before="0"/>
        <w:ind w:firstLine="420"/>
        <w:jc w:val="left"/>
      </w:pPr>
      <w:r>
        <w:rPr>
          <w:rFonts w:ascii="宋体" w:hAnsi="宋体" w:eastAsia="宋体"/>
          <w:b w:val="0"/>
          <w:sz w:val="24"/>
        </w:rPr>
        <w:t>[6] C. Qian et al., “SCALING LARGE LANGUAGE MODEL-BASED MULTI-AGENT COLLABORATION,” 2025.</w:t>
      </w:r>
    </w:p>
    <w:p>
      <w:pPr>
        <w:spacing w:after="0" w:line="360" w:lineRule="auto"/>
      </w:pPr>
    </w:p>
    <w:p>
      <w:pPr>
        <w:spacing w:after="0" w:line="360" w:lineRule="auto"/>
      </w:pPr>
    </w:p>
    <w:p>
      <w:pPr>
        <w:spacing w:after="0" w:line="360" w:lineRule="auto"/>
      </w:pPr>
    </w:p>
    <w:p>
      <w:pPr>
        <w:spacing w:after="0" w:line="360" w:lineRule="auto"/>
      </w:pPr>
    </w:p>
    <w:p>
      <w:pPr>
        <w:spacing w:before="240" w:after="120"/>
      </w:pPr>
      <w:r>
        <w:rPr>
          <w:rFonts w:ascii="黑体" w:hAnsi="黑体" w:eastAsia="黑体"/>
          <w:b/>
          <w:sz w:val="28"/>
        </w:rPr>
        <w:t>三、指导教师意见</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line="360" w:lineRule="auto" w:after="120" w:before="0"/>
        <w:ind w:firstLine="0"/>
        <w:jc w:val="right"/>
      </w:pPr>
      <w:r>
        <w:rPr>
          <w:rFonts w:ascii="宋体" w:hAnsi="宋体" w:eastAsia="宋体"/>
          <w:b w:val="0"/>
          <w:sz w:val="24"/>
        </w:rPr>
        <w:t>指导教师签字：</w:t>
      </w:r>
    </w:p>
    <w:p>
      <w:pPr>
        <w:spacing w:line="360" w:lineRule="auto" w:after="120" w:before="0"/>
        <w:ind w:firstLine="0"/>
        <w:jc w:val="right"/>
      </w:pPr>
      <w:r>
        <w:rPr>
          <w:rFonts w:ascii="宋体" w:hAnsi="宋体" w:eastAsia="宋体"/>
          <w:b w:val="0"/>
          <w:sz w:val="24"/>
        </w:rPr>
        <w:t>年    月    日</w:t>
      </w:r>
    </w:p>
    <w:p>
      <w:pPr>
        <w:spacing w:before="240" w:after="120"/>
      </w:pPr>
      <w:r>
        <w:rPr>
          <w:rFonts w:ascii="黑体" w:hAnsi="黑体" w:eastAsia="黑体"/>
          <w:b/>
          <w:sz w:val="28"/>
        </w:rPr>
        <w:t>四、专家组成员信息</w:t>
      </w:r>
    </w:p>
    <w:tbl>
      <w:tblPr>
        <w:tblStyle w:val="TableGrid"/>
        <w:tblW w:type="auto" w:w="0"/>
        <w:jc w:val="center"/>
        <w:tblLayout w:type="fixed"/>
        <w:tblLook w:firstColumn="1" w:firstRow="1" w:lastColumn="0" w:lastRow="0" w:noHBand="0" w:noVBand="1" w:val="04A0"/>
      </w:tblPr>
      <w:tblGrid>
        <w:gridCol w:w="2771"/>
        <w:gridCol w:w="2771"/>
        <w:gridCol w:w="2771"/>
      </w:tblGrid>
      <w:tr>
        <w:tc>
          <w:tcPr>
            <w:tcW w:type="dxa" w:w="1984"/>
          </w:tcPr>
          <w:p>
            <w:pPr>
              <w:jc w:val="center"/>
            </w:pPr>
            <w:r>
              <w:rPr>
                <w:rFonts w:ascii="宋体" w:hAnsi="宋体" w:eastAsia="宋体"/>
                <w:b/>
                <w:sz w:val="24"/>
              </w:rPr>
              <w:t>姓名</w:t>
            </w:r>
          </w:p>
        </w:tc>
        <w:tc>
          <w:tcPr>
            <w:tcW w:type="dxa" w:w="1701"/>
          </w:tcPr>
          <w:p>
            <w:pPr>
              <w:jc w:val="center"/>
            </w:pPr>
            <w:r>
              <w:rPr>
                <w:rFonts w:ascii="宋体" w:hAnsi="宋体" w:eastAsia="宋体"/>
                <w:b/>
                <w:sz w:val="24"/>
              </w:rPr>
              <w:t>是否硕导</w:t>
            </w:r>
          </w:p>
        </w:tc>
        <w:tc>
          <w:tcPr>
            <w:tcW w:type="dxa" w:w="3402"/>
          </w:tcPr>
          <w:p>
            <w:pPr>
              <w:jc w:val="center"/>
            </w:pPr>
            <w:r>
              <w:rPr>
                <w:rFonts w:ascii="宋体" w:hAnsi="宋体" w:eastAsia="宋体"/>
                <w:b/>
                <w:sz w:val="24"/>
              </w:rPr>
              <w:t>所在单位</w:t>
            </w:r>
          </w:p>
        </w:tc>
      </w:tr>
      <w:tr>
        <w:tc>
          <w:tcPr>
            <w:tcW w:type="dxa" w:w="1984"/>
          </w:tcPr>
          <w:p>
            <w:pPr>
              <w:jc w:val="center"/>
            </w:pPr>
          </w:p>
        </w:tc>
        <w:tc>
          <w:tcPr>
            <w:tcW w:type="dxa" w:w="1701"/>
          </w:tcPr>
          <w:p>
            <w:pPr>
              <w:jc w:val="center"/>
            </w:pPr>
          </w:p>
        </w:tc>
        <w:tc>
          <w:tcPr>
            <w:tcW w:type="dxa" w:w="3402"/>
          </w:tcPr>
          <w:p>
            <w:pPr>
              <w:jc w:val="center"/>
            </w:pPr>
          </w:p>
        </w:tc>
      </w:tr>
      <w:tr>
        <w:tc>
          <w:tcPr>
            <w:tcW w:type="dxa" w:w="1984"/>
          </w:tcPr>
          <w:p>
            <w:pPr>
              <w:jc w:val="center"/>
            </w:pPr>
          </w:p>
        </w:tc>
        <w:tc>
          <w:tcPr>
            <w:tcW w:type="dxa" w:w="1701"/>
          </w:tcPr>
          <w:p>
            <w:pPr>
              <w:jc w:val="center"/>
            </w:pPr>
          </w:p>
        </w:tc>
        <w:tc>
          <w:tcPr>
            <w:tcW w:type="dxa" w:w="3402"/>
          </w:tcPr>
          <w:p>
            <w:pPr>
              <w:jc w:val="center"/>
            </w:pPr>
          </w:p>
        </w:tc>
      </w:tr>
      <w:tr>
        <w:tc>
          <w:tcPr>
            <w:tcW w:type="dxa" w:w="1984"/>
          </w:tcPr>
          <w:p>
            <w:pPr>
              <w:jc w:val="center"/>
            </w:pPr>
          </w:p>
        </w:tc>
        <w:tc>
          <w:tcPr>
            <w:tcW w:type="dxa" w:w="1701"/>
          </w:tcPr>
          <w:p>
            <w:pPr>
              <w:jc w:val="center"/>
            </w:pPr>
          </w:p>
        </w:tc>
        <w:tc>
          <w:tcPr>
            <w:tcW w:type="dxa" w:w="3402"/>
          </w:tcPr>
          <w:p>
            <w:pPr>
              <w:jc w:val="center"/>
            </w:pPr>
          </w:p>
        </w:tc>
      </w:tr>
      <w:tr>
        <w:tc>
          <w:tcPr>
            <w:tcW w:type="dxa" w:w="1984"/>
          </w:tcPr>
          <w:p>
            <w:pPr>
              <w:jc w:val="center"/>
            </w:pPr>
          </w:p>
        </w:tc>
        <w:tc>
          <w:tcPr>
            <w:tcW w:type="dxa" w:w="1701"/>
          </w:tcPr>
          <w:p>
            <w:pPr>
              <w:jc w:val="center"/>
            </w:pPr>
          </w:p>
        </w:tc>
        <w:tc>
          <w:tcPr>
            <w:tcW w:type="dxa" w:w="3402"/>
          </w:tcPr>
          <w:p>
            <w:pPr>
              <w:jc w:val="center"/>
            </w:pPr>
          </w:p>
        </w:tc>
      </w:tr>
    </w:tbl>
    <w:p>
      <w:pPr>
        <w:spacing w:after="0" w:line="360" w:lineRule="auto"/>
      </w:pPr>
    </w:p>
    <w:p>
      <w:pPr>
        <w:spacing w:after="0" w:line="360" w:lineRule="auto"/>
      </w:pPr>
    </w:p>
    <w:p>
      <w:pPr>
        <w:spacing w:before="240" w:after="120"/>
      </w:pPr>
      <w:r>
        <w:rPr>
          <w:rFonts w:ascii="黑体" w:hAnsi="黑体" w:eastAsia="黑体"/>
          <w:b/>
          <w:sz w:val="28"/>
        </w:rPr>
        <w:t>五、专家组考核结果</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line="360" w:lineRule="auto" w:after="120" w:before="0"/>
        <w:ind w:firstLine="0"/>
        <w:jc w:val="left"/>
      </w:pPr>
      <w:r>
        <w:rPr>
          <w:rFonts w:ascii="宋体" w:hAnsi="宋体" w:eastAsia="宋体"/>
          <w:b w:val="0"/>
          <w:sz w:val="24"/>
        </w:rPr>
        <w:t>综上所述，该生本次论文中期考核结论：</w:t>
      </w:r>
    </w:p>
    <w:p>
      <w:pPr>
        <w:spacing w:line="360" w:lineRule="auto" w:after="120" w:before="0"/>
        <w:ind w:firstLine="420"/>
        <w:jc w:val="left"/>
      </w:pPr>
      <w:r>
        <w:rPr>
          <w:rFonts w:ascii="宋体" w:hAnsi="宋体" w:eastAsia="宋体"/>
          <w:b w:val="0"/>
          <w:sz w:val="24"/>
        </w:rPr>
        <w:t>□ 通过    □ 首次不通过（下学期再次考核）    □ 第二次考核不通过（建议退学）</w:t>
      </w:r>
    </w:p>
    <w:p>
      <w:pPr>
        <w:spacing w:after="0" w:line="360" w:lineRule="auto"/>
      </w:pPr>
    </w:p>
    <w:p>
      <w:pPr>
        <w:spacing w:after="0" w:line="360" w:lineRule="auto"/>
      </w:pPr>
    </w:p>
    <w:p>
      <w:pPr>
        <w:spacing w:after="0" w:line="360" w:lineRule="auto"/>
      </w:pPr>
    </w:p>
    <w:p>
      <w:pPr>
        <w:spacing w:after="0" w:line="360" w:lineRule="auto"/>
      </w:pPr>
    </w:p>
    <w:p>
      <w:pPr>
        <w:spacing w:line="360" w:lineRule="auto" w:after="120" w:before="0"/>
        <w:ind w:firstLine="0"/>
        <w:jc w:val="right"/>
      </w:pPr>
      <w:r>
        <w:rPr>
          <w:rFonts w:ascii="宋体" w:hAnsi="宋体" w:eastAsia="宋体"/>
          <w:b w:val="0"/>
          <w:sz w:val="24"/>
        </w:rPr>
        <w:t>专家组成员签字：</w:t>
      </w:r>
    </w:p>
    <w:p>
      <w:pPr>
        <w:spacing w:line="360" w:lineRule="auto" w:after="120" w:before="0"/>
        <w:ind w:firstLine="0"/>
        <w:jc w:val="right"/>
      </w:pPr>
      <w:r>
        <w:rPr>
          <w:rFonts w:ascii="宋体" w:hAnsi="宋体" w:eastAsia="宋体"/>
          <w:b w:val="0"/>
          <w:sz w:val="24"/>
        </w:rPr>
        <w:t>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