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PAPER READING</w:t>
      </w:r>
    </w:p>
    <w:p>
      <w:pPr>
        <w:pStyle w:val="Normal"/>
        <w:rPr/>
      </w:pPr>
      <w:r>
        <w:rPr/>
        <w:t>期刊：</w:t>
      </w:r>
    </w:p>
    <w:p>
      <w:pPr>
        <w:pStyle w:val="Normal"/>
        <w:rPr/>
      </w:pPr>
      <w:r>
        <w:rPr/>
        <w:t>Medical Image Analysis</w:t>
      </w:r>
    </w:p>
    <w:p>
      <w:pPr>
        <w:pStyle w:val="Normal"/>
        <w:rPr/>
      </w:pPr>
      <w:r>
        <w:rPr/>
        <w:t>IEEE</w:t>
      </w:r>
    </w:p>
    <w:p>
      <w:pPr>
        <w:pStyle w:val="Normal"/>
        <w:rPr/>
      </w:pPr>
      <w:r>
        <w:rPr/>
        <w:t>wi</w:t>
      </w:r>
      <w:r>
        <w:rPr/>
        <w:t xml:space="preserve">ley online library: </w:t>
      </w:r>
      <w:hyperlink r:id="rId2">
        <w:r>
          <w:rPr>
            <w:rStyle w:val="Internet"/>
          </w:rPr>
          <w:t>https://onlinelibrary.wiley.com/journal/15222594</w:t>
        </w:r>
      </w:hyperlink>
    </w:p>
    <w:p>
      <w:pPr>
        <w:pStyle w:val="Style13"/>
        <w:rPr/>
      </w:pPr>
      <w:r>
        <w:rPr/>
        <w:t>Biomedical Signal Processing and Control</w:t>
      </w:r>
      <w:r>
        <w:rPr/>
        <w:t>：</w:t>
      </w:r>
      <w:r>
        <w:rPr/>
        <w:t>https://www.journals.elsevier.com/biomedical-signal-processing-and-control/</w:t>
      </w:r>
    </w:p>
    <w:p>
      <w:pPr>
        <w:pStyle w:val="Style13"/>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7"/>
        <w:gridCol w:w="1928"/>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7"/>
              <w:jc w:val="center"/>
              <w:rPr/>
            </w:pPr>
            <w:r>
              <w:rPr/>
              <w:t>paper</w:t>
            </w:r>
          </w:p>
        </w:tc>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7"/>
              <w:jc w:val="center"/>
              <w:rPr/>
            </w:pPr>
            <w:r>
              <w:rPr/>
              <w:t>aim</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7"/>
              <w:jc w:val="center"/>
              <w:rPr/>
            </w:pPr>
            <w:r>
              <w:rPr/>
              <w:t>data</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7"/>
              <w:jc w:val="center"/>
              <w:rPr/>
            </w:pPr>
            <w:r>
              <w:rPr/>
              <w:t>method</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7"/>
              <w:jc w:val="center"/>
              <w:rPr/>
            </w:pPr>
            <w:r>
              <w:rPr/>
              <w:t>highlight</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pPr>
            <w:r>
              <w:rPr/>
              <w:t>using-rnn-for-early-detection-of-heart-failure-onset</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pPr>
            <w:r>
              <w:rPr/>
              <w:t>从电子病例中预测病人心衰的概率</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pPr>
            <w:r>
              <w:rPr/>
              <w:t>electronic</w:t>
            </w:r>
          </w:p>
          <w:p>
            <w:pPr>
              <w:pStyle w:val="Style17"/>
              <w:jc w:val="center"/>
              <w:rPr/>
            </w:pPr>
            <w:r>
              <w:rPr/>
              <w:t>health records (EHRs)</w:t>
            </w:r>
          </w:p>
          <w:p>
            <w:pPr>
              <w:pStyle w:val="Style17"/>
              <w:jc w:val="center"/>
              <w:rPr>
                <w:spacing w:val="0"/>
              </w:rPr>
            </w:pPr>
            <w:r>
              <w:rPr>
                <w:spacing w:val="0"/>
                <w:sz w:val="23"/>
              </w:rPr>
              <w:t>3884</w:t>
            </w:r>
            <w:r>
              <w:rPr>
                <w:spacing w:val="0"/>
                <w:sz w:val="23"/>
              </w:rPr>
              <w:t>个正例和</w:t>
            </w:r>
            <w:r>
              <w:rPr>
                <w:spacing w:val="0"/>
                <w:sz w:val="23"/>
              </w:rPr>
              <w:t>28,903</w:t>
            </w:r>
            <w:r>
              <w:rPr>
                <w:spacing w:val="0"/>
                <w:sz w:val="23"/>
              </w:rPr>
              <w:t>个负例数据，时间跨度从</w:t>
            </w:r>
            <w:r>
              <w:rPr>
                <w:spacing w:val="0"/>
                <w:sz w:val="23"/>
              </w:rPr>
              <w:t>2000</w:t>
            </w:r>
            <w:r>
              <w:rPr>
                <w:spacing w:val="0"/>
                <w:sz w:val="23"/>
              </w:rPr>
              <w:t>年</w:t>
            </w:r>
            <w:r>
              <w:rPr>
                <w:spacing w:val="0"/>
                <w:sz w:val="23"/>
              </w:rPr>
              <w:t>5</w:t>
            </w:r>
            <w:r>
              <w:rPr>
                <w:spacing w:val="0"/>
                <w:sz w:val="23"/>
              </w:rPr>
              <w:t>月，到</w:t>
            </w:r>
            <w:r>
              <w:rPr>
                <w:spacing w:val="0"/>
                <w:sz w:val="23"/>
              </w:rPr>
              <w:t>2013</w:t>
            </w:r>
            <w:r>
              <w:rPr>
                <w:spacing w:val="0"/>
                <w:sz w:val="23"/>
              </w:rPr>
              <w:t>年</w:t>
            </w:r>
            <w:r>
              <w:rPr>
                <w:spacing w:val="0"/>
                <w:sz w:val="23"/>
              </w:rPr>
              <w:t>5</w:t>
            </w:r>
            <w:r>
              <w:rPr>
                <w:spacing w:val="0"/>
                <w:sz w:val="23"/>
              </w:rPr>
              <w:t>月共</w:t>
            </w:r>
            <w:r>
              <w:rPr>
                <w:spacing w:val="0"/>
                <w:sz w:val="23"/>
              </w:rPr>
              <w:t>3</w:t>
            </w:r>
            <w:r>
              <w:rPr>
                <w:spacing w:val="0"/>
                <w:sz w:val="23"/>
              </w:rPr>
              <w:t>年的时间。</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pPr>
            <w:r>
              <w:rPr/>
              <w:t>RNN with GRU</w:t>
            </w:r>
          </w:p>
          <w:p>
            <w:pPr>
              <w:pStyle w:val="Style17"/>
              <w:jc w:val="center"/>
              <w:rPr/>
            </w:pPr>
            <w:r>
              <w:rPr/>
              <w:t>最后一层隐状态使用</w:t>
            </w:r>
            <w:r>
              <w:rPr/>
              <w:t>LR</w:t>
            </w:r>
            <w:r>
              <w:rPr/>
              <w:t>进行预测</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7"/>
              <w:jc w:val="center"/>
              <w:rPr/>
            </w:pPr>
            <w:r>
              <w:rPr/>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pPr>
            <w:r>
              <w:rPr/>
              <w:t>Risk Prediction with Electronic Health Records: A Deep Learning</w:t>
            </w:r>
          </w:p>
          <w:p>
            <w:pPr>
              <w:pStyle w:val="Style17"/>
              <w:jc w:val="center"/>
              <w:rPr/>
            </w:pPr>
            <w:r>
              <w:rPr/>
              <w:t>Approach</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spacing w:val="0"/>
              </w:rPr>
            </w:pPr>
            <w:r>
              <w:rPr>
                <w:spacing w:val="0"/>
                <w:sz w:val="23"/>
              </w:rPr>
              <w:t xml:space="preserve">基于 </w:t>
            </w:r>
            <w:r>
              <w:rPr>
                <w:spacing w:val="0"/>
                <w:sz w:val="23"/>
              </w:rPr>
              <w:t xml:space="preserve">30 </w:t>
            </w:r>
            <w:r>
              <w:rPr>
                <w:spacing w:val="0"/>
                <w:sz w:val="23"/>
              </w:rPr>
              <w:t xml:space="preserve">余万患者为期 </w:t>
            </w:r>
            <w:r>
              <w:rPr>
                <w:spacing w:val="0"/>
                <w:sz w:val="23"/>
              </w:rPr>
              <w:t xml:space="preserve">4 </w:t>
            </w:r>
            <w:r>
              <w:rPr>
                <w:spacing w:val="0"/>
                <w:sz w:val="23"/>
              </w:rPr>
              <w:t xml:space="preserve">年的电子健康档案 </w:t>
            </w:r>
            <w:r>
              <w:rPr>
                <w:spacing w:val="0"/>
                <w:sz w:val="23"/>
              </w:rPr>
              <w:t xml:space="preserve">(EHR) </w:t>
            </w:r>
            <w:r>
              <w:rPr>
                <w:spacing w:val="0"/>
                <w:sz w:val="23"/>
              </w:rPr>
              <w:t xml:space="preserve">数据，采用 </w:t>
            </w:r>
            <w:r>
              <w:rPr>
                <w:spacing w:val="0"/>
                <w:sz w:val="23"/>
              </w:rPr>
              <w:t xml:space="preserve">CNN </w:t>
            </w:r>
            <w:r>
              <w:rPr>
                <w:spacing w:val="0"/>
                <w:sz w:val="23"/>
              </w:rPr>
              <w:t>网络来预测未来的疾病发生事件。</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spacing w:val="0"/>
              </w:rPr>
            </w:pPr>
            <w:r>
              <w:rPr>
                <w:spacing w:val="0"/>
                <w:sz w:val="23"/>
              </w:rPr>
              <w:t xml:space="preserve">电子健康档案 </w:t>
            </w:r>
            <w:r>
              <w:rPr>
                <w:spacing w:val="0"/>
                <w:sz w:val="23"/>
              </w:rPr>
              <w:t xml:space="preserve">(EHR) </w:t>
            </w:r>
            <w:r>
              <w:rPr>
                <w:spacing w:val="0"/>
                <w:sz w:val="23"/>
              </w:rPr>
              <w:t>数据。</w:t>
            </w:r>
          </w:p>
          <w:p>
            <w:pPr>
              <w:pStyle w:val="Style17"/>
              <w:jc w:val="center"/>
              <w:rPr>
                <w:spacing w:val="0"/>
              </w:rPr>
            </w:pPr>
            <w:r>
              <w:rPr>
                <w:spacing w:val="0"/>
                <w:sz w:val="23"/>
              </w:rPr>
              <w:t xml:space="preserve">319,650 </w:t>
            </w:r>
            <w:r>
              <w:rPr>
                <w:spacing w:val="0"/>
                <w:sz w:val="23"/>
              </w:rPr>
              <w:t xml:space="preserve">例患者为期 </w:t>
            </w:r>
            <w:r>
              <w:rPr>
                <w:spacing w:val="0"/>
                <w:sz w:val="23"/>
              </w:rPr>
              <w:t xml:space="preserve">4 </w:t>
            </w:r>
            <w:r>
              <w:rPr>
                <w:spacing w:val="0"/>
                <w:sz w:val="23"/>
              </w:rPr>
              <w:t>年的真实电子健康档案，抽取慢性心衰（</w:t>
            </w:r>
            <w:r>
              <w:rPr>
                <w:spacing w:val="0"/>
                <w:sz w:val="23"/>
              </w:rPr>
              <w:t>CHF</w:t>
            </w:r>
            <w:r>
              <w:rPr>
                <w:spacing w:val="0"/>
                <w:sz w:val="23"/>
              </w:rPr>
              <w:t>，充血性心力衰竭）和慢阻肺（</w:t>
            </w:r>
            <w:r>
              <w:rPr>
                <w:spacing w:val="0"/>
                <w:sz w:val="23"/>
              </w:rPr>
              <w:t>COPD</w:t>
            </w:r>
            <w:r>
              <w:rPr>
                <w:spacing w:val="0"/>
                <w:sz w:val="23"/>
              </w:rPr>
              <w:t>，慢性阻塞性肺病）相关数据</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spacing w:val="0"/>
              </w:rPr>
            </w:pPr>
            <w:r>
              <w:rPr>
                <w:spacing w:val="0"/>
                <w:sz w:val="23"/>
              </w:rPr>
              <w:t xml:space="preserve">INPUT-CONV-POOL-FC </w:t>
            </w:r>
            <w:r>
              <w:rPr>
                <w:spacing w:val="0"/>
                <w:sz w:val="23"/>
              </w:rPr>
              <w:t>共四层的卷积神经网络模型</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7"/>
              <w:jc w:val="center"/>
              <w:rPr>
                <w:spacing w:val="0"/>
              </w:rPr>
            </w:pPr>
            <w:r>
              <w:rPr>
                <w:spacing w:val="0"/>
              </w:rPr>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3"/>
              <w:rPr/>
            </w:pPr>
            <w:r>
              <w:rPr/>
              <w:t>Multiscale deep neural network based analysis of FDG-PET images for the early diagnosis of Alzheimer’s disease</w:t>
            </w:r>
          </w:p>
          <w:p>
            <w:pPr>
              <w:pStyle w:val="Style13"/>
              <w:spacing w:lineRule="auto" w:line="288" w:before="0" w:after="140"/>
              <w:rPr/>
            </w:pPr>
            <w:r>
              <w:rPr/>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rPr>
            </w:pPr>
            <w:bookmarkStart w:id="0" w:name="result_box"/>
            <w:bookmarkEnd w:id="0"/>
            <w:r>
              <w:rPr>
                <w:spacing w:val="0"/>
                <w:lang w:eastAsia="zh-CN"/>
              </w:rPr>
              <w:t>氟脱氧葡萄糖正电子发射断层扫描（</w:t>
            </w:r>
            <w:r>
              <w:rPr>
                <w:spacing w:val="0"/>
                <w:lang w:val="zh-CN"/>
              </w:rPr>
              <w:t>FDG-PET</w:t>
            </w:r>
            <w:r>
              <w:rPr>
                <w:spacing w:val="0"/>
                <w:lang w:eastAsia="zh-CN"/>
              </w:rPr>
              <w:t>）捕获大脑的代谢活动，使用深度神经网络进行分类，判别病人是否患有</w:t>
            </w:r>
            <w:r>
              <w:rPr>
                <w:spacing w:val="0"/>
                <w:lang w:eastAsia="zh-CN"/>
              </w:rPr>
              <w:t>AD</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spacing w:val="0"/>
              </w:rPr>
            </w:pPr>
            <w:r>
              <w:rPr>
                <w:spacing w:val="0"/>
              </w:rPr>
              <w:t>FDG-PET</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spacing w:val="0"/>
              </w:rPr>
            </w:pPr>
            <w:r>
              <w:rPr>
                <w:spacing w:val="0"/>
              </w:rPr>
              <w:t>深度神经网络</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7"/>
              <w:jc w:val="center"/>
              <w:rPr>
                <w:spacing w:val="0"/>
              </w:rPr>
            </w:pPr>
            <w:r>
              <w:rPr>
                <w:spacing w:val="0"/>
              </w:rPr>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3"/>
              <w:spacing w:lineRule="auto" w:line="288" w:before="0" w:after="140"/>
              <w:rPr/>
            </w:pPr>
            <w:bookmarkStart w:id="1" w:name="multiscale-sequential-convolutional-neural-networks-for-simultaneous-detection-of-fovea-and-optic-disc"/>
            <w:bookmarkEnd w:id="1"/>
            <w:r>
              <w:rPr/>
              <w:t>Multiscale sequential convolutional neural networks for simultaneous detection of fovea and optic disc</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rPr>
            </w:pPr>
            <w:r>
              <w:rPr>
                <w:spacing w:val="0"/>
              </w:rPr>
              <w:t>Deep Learning</w:t>
            </w:r>
            <w:r>
              <w:rPr>
                <w:spacing w:val="0"/>
              </w:rPr>
              <w:t>的方法做视盘和黄斑中心凹的检测</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spacing w:val="0"/>
              </w:rPr>
            </w:pPr>
            <w:r>
              <w:rPr>
                <w:spacing w:val="0"/>
              </w:rPr>
              <w:t>基于的数据库</w:t>
            </w:r>
            <w:r>
              <w:rPr>
                <w:spacing w:val="0"/>
              </w:rPr>
              <w:t>MESSIDOR</w:t>
            </w:r>
            <w:r>
              <w:rPr>
                <w:spacing w:val="0"/>
              </w:rPr>
              <w:t>和</w:t>
            </w:r>
            <w:r>
              <w:rPr>
                <w:spacing w:val="0"/>
              </w:rPr>
              <w:t>Kaggle</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lang w:eastAsia="zh-CN"/>
              </w:rPr>
            </w:pPr>
            <w:bookmarkStart w:id="2" w:name="result_box1"/>
            <w:bookmarkEnd w:id="2"/>
            <w:r>
              <w:rPr>
                <w:spacing w:val="0"/>
                <w:lang w:eastAsia="zh-CN"/>
              </w:rPr>
              <w:t>多尺度顺序卷积神经网络</w:t>
            </w:r>
          </w:p>
          <w:p>
            <w:pPr>
              <w:pStyle w:val="Style17"/>
              <w:jc w:val="center"/>
              <w:rPr>
                <w:spacing w:val="0"/>
              </w:rPr>
            </w:pPr>
            <w:r>
              <w:rPr>
                <w:spacing w:val="0"/>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7"/>
              <w:jc w:val="center"/>
              <w:rPr>
                <w:spacing w:val="0"/>
              </w:rPr>
            </w:pPr>
            <w:r>
              <w:rPr>
                <w:spacing w:val="0"/>
              </w:rPr>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3"/>
              <w:spacing w:lineRule="auto" w:line="288" w:before="0" w:after="140"/>
              <w:rPr/>
            </w:pPr>
            <w:r>
              <w:rPr/>
              <w:t>Development and Validation of a Deep Learning Algorithm for Detection of Diabetic Retinopathy in Retinal Fundus Photographs</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rPr>
            </w:pPr>
            <w:r>
              <w:rPr>
                <w:spacing w:val="0"/>
              </w:rPr>
              <w:t>用深度学习来创建一种能通过视网膜眼底照片自动检测糖尿病性视网膜病和糖尿病性黄斑水肿的算法</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spacing w:val="0"/>
              </w:rPr>
            </w:pPr>
            <w:r>
              <w:rPr>
                <w:spacing w:val="0"/>
              </w:rPr>
              <w:t xml:space="preserve">EyePACS-1 </w:t>
            </w:r>
            <w:r>
              <w:rPr>
                <w:spacing w:val="0"/>
              </w:rPr>
              <w:t>数据集</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lang w:eastAsia="zh-CN"/>
              </w:rPr>
            </w:pPr>
            <w:r>
              <w:rPr>
                <w:spacing w:val="0"/>
                <w:lang w:eastAsia="zh-CN"/>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7"/>
              <w:jc w:val="center"/>
              <w:rPr>
                <w:spacing w:val="0"/>
              </w:rPr>
            </w:pPr>
            <w:r>
              <w:rPr>
                <w:spacing w:val="0"/>
              </w:rPr>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3"/>
              <w:rPr/>
            </w:pPr>
            <w:r>
              <w:rPr/>
              <w:t>视网膜眼底图像预测心脏病风险：</w:t>
            </w:r>
            <w:r>
              <w:rPr/>
              <w:t>Nature</w:t>
            </w:r>
            <w:r>
              <w:rPr/>
              <w:t>综述深度学习在生物医疗中的新应用</w:t>
            </w:r>
          </w:p>
          <w:p>
            <w:pPr>
              <w:pStyle w:val="Style13"/>
              <w:spacing w:lineRule="auto" w:line="288" w:before="0" w:after="140"/>
              <w:rPr/>
            </w:pPr>
            <w:r>
              <w:rPr/>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rPr>
            </w:pPr>
            <w:r>
              <w:rPr>
                <w:spacing w:val="0"/>
              </w:rPr>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spacing w:val="0"/>
              </w:rPr>
            </w:pPr>
            <w:r>
              <w:rPr>
                <w:spacing w:val="0"/>
              </w:rPr>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lang w:eastAsia="zh-CN"/>
              </w:rPr>
            </w:pPr>
            <w:r>
              <w:rPr>
                <w:spacing w:val="0"/>
                <w:lang w:eastAsia="zh-CN"/>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pacing w:val="0"/>
              </w:rPr>
            </w:pPr>
            <w:hyperlink r:id="rId3">
              <w:r>
                <w:rPr>
                  <w:rStyle w:val="Internet"/>
                  <w:spacing w:val="0"/>
                </w:rPr>
                <w:t>https://blog.csdn.net/Uwr44UOuQcNsUQb60zk2/article/details/78986356</w:t>
              </w:r>
            </w:hyperlink>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3"/>
              <w:spacing w:lineRule="auto" w:line="288" w:before="0" w:after="140"/>
              <w:rPr/>
            </w:pPr>
            <w:r>
              <w:rPr/>
              <w:t>Dense Fully Convolutional Segmentation of the Optic Disc and Cup in Colour Fundus for Glaucoma Diagnosis</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rPr>
            </w:pPr>
            <w:r>
              <w:rPr>
                <w:spacing w:val="0"/>
              </w:rPr>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spacing w:val="0"/>
              </w:rPr>
            </w:pPr>
            <w:r>
              <w:rPr>
                <w:spacing w:val="0"/>
              </w:rPr>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lang w:eastAsia="zh-CN"/>
              </w:rPr>
            </w:pPr>
            <w:r>
              <w:rPr>
                <w:spacing w:val="0"/>
                <w:lang w:eastAsia="zh-CN"/>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pPr>
            <w:hyperlink r:id="rId5">
              <w:r>
                <w:rPr>
                  <w:rStyle w:val="Internet"/>
                  <w:spacing w:val="0"/>
                </w:rPr>
                <w:t>http://www.mdpi.com/2073-8994/10/4/87/htm</w:t>
              </w:r>
            </w:hyperlink>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3"/>
              <w:spacing w:before="0" w:after="140"/>
              <w:rPr/>
            </w:pPr>
            <w:r>
              <w:rPr/>
              <w:t>Recurrent Residual Convolutional Neural Network based on U-Net(R2U-Net) for Medical Image Segmentation</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rPr>
            </w:pPr>
            <w:r>
              <w:rPr>
                <w:spacing w:val="0"/>
              </w:rPr>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Style17"/>
              <w:jc w:val="center"/>
              <w:rPr>
                <w:spacing w:val="0"/>
              </w:rPr>
            </w:pPr>
            <w:r>
              <w:rPr>
                <w:spacing w:val="0"/>
              </w:rPr>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Normal"/>
              <w:jc w:val="center"/>
              <w:rPr>
                <w:spacing w:val="0"/>
                <w:lang w:eastAsia="zh-CN"/>
              </w:rPr>
            </w:pPr>
            <w:r>
              <w:rPr>
                <w:spacing w:val="0"/>
                <w:lang w:eastAsia="zh-CN"/>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center"/>
              <w:rPr>
                <w:spacing w:val="0"/>
              </w:rPr>
            </w:pPr>
            <w:r>
              <w:rPr>
                <w:spacing w:val="0"/>
              </w:rPr>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Noto Sans CJK SC Regular"/>
      <w:color w:val="auto"/>
      <w:sz w:val="24"/>
      <w:szCs w:val="24"/>
      <w:lang w:val="en-US" w:eastAsia="zh-CN" w:bidi="hi-IN"/>
    </w:rPr>
  </w:style>
  <w:style w:type="paragraph" w:styleId="1">
    <w:name w:val="Heading 1"/>
    <w:basedOn w:val="Style12"/>
    <w:next w:val="Style13"/>
    <w:qFormat/>
    <w:pPr>
      <w:numPr>
        <w:ilvl w:val="0"/>
        <w:numId w:val="0"/>
      </w:numPr>
      <w:spacing w:before="240" w:after="120"/>
      <w:outlineLvl w:val="0"/>
    </w:pPr>
    <w:rPr>
      <w:rFonts w:ascii="Liberation Serif" w:hAnsi="Liberation Serif" w:eastAsia="Noto Sans CJK SC Regular" w:cs="Noto Sans CJK SC Regular"/>
      <w:b/>
      <w:bCs/>
      <w:sz w:val="48"/>
      <w:szCs w:val="48"/>
    </w:rPr>
  </w:style>
  <w:style w:type="paragraph" w:styleId="6">
    <w:name w:val="Heading 6"/>
    <w:basedOn w:val="Style12"/>
    <w:next w:val="Style13"/>
    <w:qFormat/>
    <w:pPr>
      <w:numPr>
        <w:ilvl w:val="0"/>
        <w:numId w:val="0"/>
      </w:numPr>
      <w:spacing w:before="60" w:after="60"/>
      <w:outlineLvl w:val="5"/>
    </w:pPr>
    <w:rPr>
      <w:rFonts w:ascii="Liberation Serif" w:hAnsi="Liberation Serif" w:eastAsia="Noto Sans CJK SC Regular" w:cs="Noto Sans CJK SC Regular"/>
      <w:b/>
      <w:bCs/>
      <w:sz w:val="14"/>
      <w:szCs w:val="14"/>
    </w:rPr>
  </w:style>
  <w:style w:type="character" w:styleId="Internet">
    <w:name w:val="Internet 链接"/>
    <w:rPr>
      <w:color w:val="000080"/>
      <w:u w:val="single"/>
      <w:lang w:val="zxx" w:eastAsia="zxx" w:bidi="zxx"/>
    </w:rPr>
  </w:style>
  <w:style w:type="paragraph" w:styleId="Style12">
    <w:name w:val="标题"/>
    <w:basedOn w:val="Normal"/>
    <w:next w:val="Style13"/>
    <w:qFormat/>
    <w:pPr>
      <w:keepNext/>
      <w:spacing w:before="240" w:after="120"/>
    </w:pPr>
    <w:rPr>
      <w:rFonts w:ascii="Liberation Sans" w:hAnsi="Liberation Sans" w:eastAsia="Noto Sans CJK SC Regular" w:cs="Noto Sans CJK SC Regular"/>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Style17">
    <w:name w:val="表格内容"/>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library.wiley.com/journal/15222594" TargetMode="External"/><Relationship Id="rId3" Type="http://schemas.openxmlformats.org/officeDocument/2006/relationships/hyperlink" Target="https://blog.csdn.net/Uwr44UOuQcNsUQb60zk2/article/details/78986356" TargetMode="External"/><Relationship Id="rId4" Type="http://schemas.openxmlformats.org/officeDocument/2006/relationships/hyperlink" Target="http://www.mdpi.com/2073-8994/10/4/87/htm"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374</TotalTime>
  <Application>LibreOffice/5.1.6.2$Linux_X86_64 LibreOffice_project/10m0$Build-2</Application>
  <Pages>2</Pages>
  <Words>473</Words>
  <Characters>1435</Characters>
  <CharactersWithSpaces>1542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2018-05-10T17:45:30Z</dcterms:created>
  <dc:creator/>
  <dc:description/>
  <dc:language>zh-CN</dc:language>
  <cp:lastModifiedBy/>
  <dcterms:modified xsi:type="dcterms:W3CDTF">2018-05-15T16:02:06Z</dcterms:modified>
  <cp:revision>9</cp:revision>
  <dc:subject/>
  <dc:title/>
</cp:coreProperties>
</file>