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04. 16.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Auditor : 김하령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issue log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Report the implementation each other.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Discuss about SRS and use-case.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Make issue log - Lee Eunjae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Report the implementation each other.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Hwang Kyojun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Fragment transaction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Lee Eunjae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Logo conversion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Understand fragment and intent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Kim Haryeong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Opening socket with python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</w:rPr>
      </w:pPr>
      <w:r w:rsidDel="00000000" w:rsidR="00000000" w:rsidRPr="00000000">
        <w:rPr>
          <w:rtl w:val="0"/>
        </w:rPr>
        <w:t xml:space="preserve">Discuss about SRS and use-case.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layout of SRS.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template we will use to make SRS? - IEEE, other templates and samples.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remove the unusable contents, and decide the principal things.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of we think 2nd contents of SRS(software perspective) unsuable we decide postpone that contents.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April 20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Sprint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