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06. 08.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 : 김하령, 황교준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Make UCC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Develoment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Ready to Preasentaion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Make UCC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Made UCC.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Buisiness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Finish Develoment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80% is done.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Ready to Preasentaion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June 15st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Meeting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Preasentaion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szCs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szCs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szCs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szCs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szCs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szCs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szCs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szCs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