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Contract2 -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SUPPLY AGREEMENT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Smith &amp; Wesson Inc.,</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August 24, 2020</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August 24, 2020</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This Agreement shall become effective as of the Effective Date and shall continue for a period of 24 months, unless earlier terminated in accordance with its terms (the “Term”).</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Not later than six (6) months prior to the expiration of this Agreement, the parties shall engage in good faith discussions regarding any renewal or extension of this Agreement.</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The Supplier will be required to provide not less than thirty (30) days’ prior notice of cancellation, intention not to renew, or material change in coverage; provided, however, that no reduction, cancellation or material changes in any policy will relieve the Supplier of Supplier’s obligation to maintain coverages in accordance with this Agreement.</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arties, Supplier shall indemnify, defend and hold S&amp;W and its officers, directors, employees, agents, customers, subsidiaries, parents and affiliates (each a “S&amp;W Protected Party”) harmless from and against (iii) any and all Losse</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Supplier shall, upon S&amp;W’s request from time to time by providing at least 7 days prior notice, allow S&amp;W or its representatives access to Supplier’s facilities to inspect the manufacture and assembly of the Products during reasonable hours, and provide S&amp;W with such records in the possession of Supplier, as S&amp;W may reasonably request, relating to the manufacture of Products and the source of any raw materials and components used in the Products; provided, however, in no event shall such inspection interfere with the business of Supplier.</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Supplier shall, upon S&amp;W’s request from time to time by providing at least 7 days prior notice, allow S&amp;W or its representatives access to Supplier’s facilities to inspect the manufacture and assembly of the Products during reasonable hours, and provide S&amp;W with such records in the possession of Supplier, as S&amp;W may reasonably request, relating to the manufacture of Products and the source of any raw materials and components used in the Products; provided, however, in no event shall such inspection interfere with the business of Supplier.</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In addition, in no event shall Supplier be liable or responsible for any warranty provided to end-users of the Product greater than Supplier’s End-User Warranty.</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S&amp;W shall have the right within 14 days of receipt (the “Inspection Period”) to inspect any Products and to reject the same to the extent (i) the amount of Product is more than the amount requested in the Order (but such rejection right shall only be with respect to the excess amount), (ii) the Product is materially damaged or (iii) for obvious and apparent deviations from the Specifications for such Product, which are obvious without opening the packaging for each Product (“Nonconforming Products”).</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For Products that shall have a delivery point of FOB Origin, S&amp;W shall pay the costs of shipping such Products from such point to S&amp;W in accordance with its Orders (but, for the avoidance of doubt, S&amp;W shall pay for the cost of any insurance on such Products after transfer of risk of loss and title of such Products as set forth in Section 4.1).</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