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Contract4 -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the meaning of the U.S. Food</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thing in this A</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January 27, 2015</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January 27, 2015</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This Agreement shall have an initial term beginning on the Effective Date and terminating on the second anniversary of the Effective Date (the “Initial Term”).</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The Initial Term may be renewed for one additional one-year term (the “Renewal Term”) upon: (i) the mutual written agreement of Supplier and Purchaser, or (ii) Supplier’s receipt of written notice from Purchaser not later than three (3) months prior to the expiration of the Initial Term stating that (A) Purchaser has determined in good faith that Purchaser and its Affiliates will be unable to independently manufacture the Products in quantities sufficient to meet all of its requirements for the Products solely for incorporation into DCB Products upon expiration of the Initial Term, and(B) Purchaser desires to continue purchasing Products from Supplier upon expiration of the Initial Term.</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The Initial Term may be renewed for one additional one-year term (the “Renewal Term”) upon: (i) the mutual written agreement of Supplier and Purchaser, or (ii) Supplier’s receipt of written notice from Purchaser not later than three (3) months prior to the expiration of the Initial Term stating that (A) Purchaser has determined in good faith that Purchaser and its Affiliates will be unable to independently manufacture the Products in quantities sufficient to meet all of its requirements for the Products solely for incorporation into DCB Products upon expiration of the Initial Term, and(B) Purchaser desires to continue purchasing Products from Supplier upon expiration of the Initial Term.</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This Agreement, the rights of the Parties and all Proceedings arising in whole or in part under or in connection herewith shall be governed by and construed in accordance with the Laws of the State of Delaware, without regard to any conflicts of law principles of such state that might apply the law of another jurisdiction.(</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In addition to the termination events set forth in Section 3(b), Purchaser may terminate this Agreement at any time and for any reason by providing Supplier with at least thirty (30) days prior written notice.(d)</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Seller shall, upon reasonable prior written notice by Purchaser, provide access to and permit any Notified Body in the European Union or any other regulatory authority (in each case, an “Accredited Auditor”) to review Seller’s quality system and conduct quality systems and compliance audits of Seller’s facilities and operations related to the manufacture of any Products and to verify that the Products are being manufactured and supplied in accordance with any applicable specifications and Laws related to the Products.</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Notwithstanding the foregoing, Supplier’s liability for any failure of a Product to comply with the product warranty set forth in Section 5(a) shall be subject to the limitations set forth in Section 11(b).</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Supplier warrants to Purchaser that, until the earlier of one year after delivery or the date on which the Product is used by Purchaser, the Products will comply with the applicable specifications of Supplier for the Products in effect as of the date of the relevant PO.</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Such insurance shall contain a minimum combined single limit of liability for bodily injury and property damage in the amount of not less than $10,000,000 per occurrence and $10,000,000 in the aggregate. Supplier shall provide the certificate of insurance to Purchaser upon request.</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