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Contract5 -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lier shall be given no less 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Elanco</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October 1, 2018</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such claims that arise in calendar year 2018, the relevant Annual Total Tolling Fee Margin shall be pro-rated</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s of this Agreement and to enforce specifically the terms and provisions hereof, in each case (a) without the requirement of posting any bond or other indemnity and (b) in addition to any other remedy to which</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ent) shall be governed by the following rules of construction: (a) words in the singular shall be held to include the plural and vice versa, and words of one gender shall be held to include the other gender as the context requires; (b) references to the terms Article, Section, paragraph and Exhibit are references to the Articles, Sections, paragraphs and Exhibits to this Agreement unless otherwise specified; (c) the terms “hereof”, “herein”, “hereby”, “hereto” and derivative or similar words refer to this entire Agreement, including the Schedules and Exhibits hereto; (d)</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ement (except as specifically provided in this Agreement, in which case such specified rules of construction shall govern with respect to this Agre</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the Tolling Fee Margin, as mutually agreed upon by the Parties.“Batch” means a specific quantity of manufactured material processed either in one (1) process or a series of processes so that it is expected to be homogenous.“Binding Order” has the mean</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or in equity.  Such remedies shall be cumulative with and not exclusive of and</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compromise or defend the Third Party Claim;(ii)        allow the other Party (if it elects to do so) to take over the conduct of all proceedings or negotiations ari</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ment or this Agreement are inconsistent with the terms of the Compliance Requirements, the Compliance Requirements shall prevail.13.02                 No Construction Against DrafterThe Parties acknowledge that this Agreement and all the terms and conditions contained herein have been fully reviewed and negotiated by the Parties.  Having acknowledged the foregoing, the Parties agree that any principle of construction or rule of Law that provides that, in</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Unless otherwise agreed, Deliveries of Product shall be made by forwarders used by Historical Supplier within the twelve (12) months immediately preceding the Effective Date, provided that Purchaser or Supplier may request the replacement of a forwarder (e.g., for reasonable quality reasons) in which case the Parties shall discuss and agree in good faith on a solution acceptable for both Parties.</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t, nor shall it prejudice the rights of the other Party.13.11                 Specific PerformanceIn the event of any actual or threatened default or breach of, any of the terms, conditions and provisions of this Agreement, the Party or Parties who are or are to be ther</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