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黑体" w:hAnsi="黑体" w:eastAsia="黑体" w:cs="黑体"/>
          <w:b/>
          <w:color w:val="000000"/>
          <w:sz w:val="36"/>
        </w:rPr>
        <w:t>第3组分工与GitHub协作计划</w:t>
      </w:r>
    </w:p>
    <w:p>
      <w:pPr>
        <w:jc w:val="center"/>
      </w:pPr>
      <w:r>
        <w:rPr>
          <w:rFonts w:ascii="宋体" w:hAnsi="宋体" w:eastAsia="宋体" w:cs="宋体"/>
          <w:b w:val="0"/>
          <w:color w:val="000000"/>
          <w:sz w:val="21"/>
        </w:rPr>
        <w:t>漫像交融  第一阶段附件  V1.1  2026年10月25日</w:t>
      </w:r>
    </w:p>
    <w:p>
      <w:pPr>
        <w:pStyle w:val="Heading1"/>
      </w:pPr>
      <w:r>
        <w:rPr>
          <w:rFonts w:ascii="黑体" w:hAnsi="黑体" w:eastAsia="黑体" w:cs="黑体"/>
          <w:b/>
          <w:color w:val="000000"/>
          <w:sz w:val="28"/>
        </w:rPr>
        <w:t>1 团队分工与里程碑</w:t>
      </w:r>
    </w:p>
    <w:p>
      <w:r>
        <w:rPr>
          <w:rFonts w:ascii="宋体" w:hAnsi="宋体" w:eastAsia="宋体" w:cs="宋体"/>
          <w:b w:val="0"/>
          <w:color w:val="000000"/>
          <w:sz w:val="22"/>
        </w:rPr>
        <w:t>本计划将需求转换为四人独立承担的任务。当前形成的是本地材料；远程Issue、权限、分支保护与运行记录须实际落实。T01—T16是规划编号，不代表GitHub现有编号。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31"/>
        <w:gridCol w:w="3118"/>
        <w:gridCol w:w="4535"/>
      </w:tblGrid>
      <w:tr>
        <w:trPr>
          <w:cantSplit/>
          <w:tblHeader/>
        </w:trPr>
        <w:tc>
          <w:tcPr>
            <w:tcW w:type="dxa" w:w="15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40" w:before="40" w:line="269" w:lineRule="auto"/>
            </w:pPr>
            <w:r>
              <w:rPr>
                <w:rFonts w:ascii="黑体" w:hAnsi="黑体" w:eastAsia="黑体" w:cs="黑体"/>
                <w:b/>
                <w:color w:val="000000"/>
                <w:sz w:val="20"/>
              </w:rPr>
              <w:t>成员</w:t>
            </w:r>
          </w:p>
        </w:tc>
        <w:tc>
          <w:tcPr>
            <w:tcW w:type="dxa" w:w="311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40" w:before="40" w:line="269" w:lineRule="auto"/>
            </w:pPr>
            <w:r>
              <w:rPr>
                <w:rFonts w:ascii="黑体" w:hAnsi="黑体" w:eastAsia="黑体" w:cs="黑体"/>
                <w:b/>
                <w:color w:val="000000"/>
                <w:sz w:val="20"/>
              </w:rPr>
              <w:t>职责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40" w:before="40" w:line="269" w:lineRule="auto"/>
            </w:pPr>
            <w:r>
              <w:rPr>
                <w:rFonts w:ascii="黑体" w:hAnsi="黑体" w:eastAsia="黑体" w:cs="黑体"/>
                <w:b/>
                <w:color w:val="000000"/>
                <w:sz w:val="20"/>
              </w:rPr>
              <w:t>章节与交叉评审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花用科</w:t>
            </w:r>
          </w:p>
        </w:tc>
        <w:tc>
          <w:tcPr>
            <w:tcW w:type="dxa" w:w="311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组长、处理模块、增强与发布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SRS第1、2、8章；评审后端；处理模块由汪婧文复核。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赖娴艳</w:t>
            </w:r>
          </w:p>
        </w:tc>
        <w:tc>
          <w:tcPr>
            <w:tcW w:type="dxa" w:w="311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上传、任务、下载清理及测试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SRS第3、6章；评审前端；后端由花用科复核。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王博雅</w:t>
            </w:r>
          </w:p>
        </w:tc>
        <w:tc>
          <w:tcPr>
            <w:tcW w:type="dxa" w:w="311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工作台、状态、对比及测试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SRS用例与交互；评审CI；前端由赖娴艳复核。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汪婧文</w:t>
            </w:r>
          </w:p>
        </w:tc>
        <w:tc>
          <w:tcPr>
            <w:tcW w:type="dxa" w:w="311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测试代码、CI、验收与缺陷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SRS第4、5、7章；评审处理模块；CI由王博雅复核。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4025"/>
        <w:gridCol w:w="3458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40" w:before="40" w:line="269" w:lineRule="auto"/>
            </w:pPr>
            <w:r>
              <w:rPr>
                <w:rFonts w:ascii="黑体" w:hAnsi="黑体" w:eastAsia="黑体" w:cs="黑体"/>
                <w:b/>
                <w:color w:val="000000"/>
                <w:sz w:val="20"/>
              </w:rPr>
              <w:t>阶段</w:t>
            </w:r>
          </w:p>
        </w:tc>
        <w:tc>
          <w:tcPr>
            <w:tcW w:type="dxa" w:w="402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40" w:before="40" w:line="269" w:lineRule="auto"/>
            </w:pPr>
            <w:r>
              <w:rPr>
                <w:rFonts w:ascii="黑体" w:hAnsi="黑体" w:eastAsia="黑体" w:cs="黑体"/>
                <w:b/>
                <w:color w:val="000000"/>
                <w:sz w:val="20"/>
              </w:rPr>
              <w:t>交付</w:t>
            </w:r>
          </w:p>
        </w:tc>
        <w:tc>
          <w:tcPr>
            <w:tcW w:type="dxa" w:w="345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40" w:before="40" w:line="269" w:lineRule="auto"/>
            </w:pPr>
            <w:r>
              <w:rPr>
                <w:rFonts w:ascii="黑体" w:hAnsi="黑体" w:eastAsia="黑体" w:cs="黑体"/>
                <w:b/>
                <w:color w:val="000000"/>
                <w:sz w:val="20"/>
              </w:rPr>
              <w:t>完成标准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M0 当前</w:t>
            </w:r>
          </w:p>
        </w:tc>
        <w:tc>
          <w:tcPr>
            <w:tcW w:type="dxa" w:w="402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报告、需求、16项任务、README及协作材料</w:t>
            </w:r>
          </w:p>
        </w:tc>
        <w:tc>
          <w:tcPr>
            <w:tcW w:type="dxa" w:w="345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本地材料齐备；提交前成员核对并登记远程任务。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M1 v0.1.0</w:t>
            </w:r>
          </w:p>
        </w:tc>
        <w:tc>
          <w:tcPr>
            <w:tcW w:type="dxa" w:w="402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T01—T08；上传—动漫化—状态—预览链路</w:t>
            </w:r>
          </w:p>
        </w:tc>
        <w:tc>
          <w:tcPr>
            <w:tcW w:type="dxa" w:w="345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实际处理、CI、架构设计、保护截图，发布Alpha。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M2 v0.2.0</w:t>
            </w:r>
          </w:p>
        </w:tc>
        <w:tc>
          <w:tcPr>
            <w:tcW w:type="dxa" w:w="402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T09—T12；增强、下载、清理、隔离及E2E</w:t>
            </w:r>
          </w:p>
        </w:tc>
        <w:tc>
          <w:tcPr>
            <w:tcW w:type="dxa" w:w="345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核心验收、覆盖率与CHANGELOG，发布Beta。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M3 v1.0.0</w:t>
            </w:r>
          </w:p>
        </w:tc>
        <w:tc>
          <w:tcPr>
            <w:tcW w:type="dxa" w:w="402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T13—T16；完善与回归、启动复现</w:t>
            </w:r>
          </w:p>
        </w:tc>
        <w:tc>
          <w:tcPr>
            <w:tcW w:type="dxa" w:w="345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P0全部、P1至少70%，完整文档及个人贡献说明。</w:t>
            </w:r>
          </w:p>
        </w:tc>
      </w:tr>
    </w:tbl>
    <w:p>
      <w:pPr>
        <w:spacing w:after="0"/>
      </w:pPr>
    </w:p>
    <w:p>
      <w:r>
        <w:rPr>
          <w:rFonts w:ascii="宋体" w:hAnsi="宋体" w:eastAsia="宋体" w:cs="宋体"/>
          <w:b w:val="0"/>
          <w:color w:val="000000"/>
          <w:sz w:val="22"/>
        </w:rPr>
        <w:t>课程节点为立项第4周、中期第8周、迭代二第12周、终期第16周，以课程日历为准。此处不虚构截止日期；组长收到课表后设置实际Milestone日期。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 w:cs="黑体"/>
          <w:b/>
          <w:color w:val="000000"/>
          <w:sz w:val="28"/>
        </w:rPr>
        <w:t>2 可执行任务清单</w:t>
      </w:r>
    </w:p>
    <w:p>
      <w:r>
        <w:rPr>
          <w:rFonts w:ascii="宋体" w:hAnsi="宋体" w:eastAsia="宋体" w:cs="宋体"/>
          <w:b w:val="0"/>
          <w:color w:val="000000"/>
          <w:sz w:val="22"/>
        </w:rPr>
        <w:t>每人4项，共16项。每项预估2—8小时，均为计划工时。附件3中每份Issue正文包含任务、验收、负责人、标签、里程碑及依赖。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64"/>
        <w:gridCol w:w="4535"/>
        <w:gridCol w:w="1417"/>
        <w:gridCol w:w="1134"/>
        <w:gridCol w:w="1134"/>
      </w:tblGrid>
      <w:tr>
        <w:trPr>
          <w:cantSplit/>
          <w:tblHeader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40" w:before="40" w:line="269" w:lineRule="auto"/>
            </w:pPr>
            <w:r>
              <w:rPr>
                <w:rFonts w:ascii="黑体" w:hAnsi="黑体" w:eastAsia="黑体" w:cs="黑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40" w:before="40" w:line="269" w:lineRule="auto"/>
            </w:pPr>
            <w:r>
              <w:rPr>
                <w:rFonts w:ascii="黑体" w:hAnsi="黑体" w:eastAsia="黑体" w:cs="黑体"/>
                <w:b/>
                <w:color w:val="000000"/>
                <w:sz w:val="20"/>
              </w:rPr>
              <w:t>任务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40" w:before="40" w:line="269" w:lineRule="auto"/>
            </w:pPr>
            <w:r>
              <w:rPr>
                <w:rFonts w:ascii="黑体" w:hAnsi="黑体" w:eastAsia="黑体" w:cs="黑体"/>
                <w:b/>
                <w:color w:val="000000"/>
                <w:sz w:val="20"/>
              </w:rPr>
              <w:t>负责人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40" w:before="40" w:line="269" w:lineRule="auto"/>
            </w:pPr>
            <w:r>
              <w:rPr>
                <w:rFonts w:ascii="黑体" w:hAnsi="黑体" w:eastAsia="黑体" w:cs="黑体"/>
                <w:b/>
                <w:color w:val="000000"/>
                <w:sz w:val="20"/>
              </w:rPr>
              <w:t>阶段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40" w:before="40" w:line="269" w:lineRule="auto"/>
            </w:pPr>
            <w:r>
              <w:rPr>
                <w:rFonts w:ascii="黑体" w:hAnsi="黑体" w:eastAsia="黑体" w:cs="黑体"/>
                <w:b/>
                <w:color w:val="000000"/>
                <w:sz w:val="20"/>
              </w:rPr>
              <w:t>估时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T01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项目骨架与健康检查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花用科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M1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6h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T02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安全上传与图片校验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赖娴艳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M1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6h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T03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上传预览与参数表单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王博雅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M1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6h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T04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自动化检查与测试基线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汪婧文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M1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5h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T05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动漫风格化算法开发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花用科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M1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8h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T06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异步处理任务与状态接口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赖娴艳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M1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8h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T07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任务状态与失败重试界面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王博雅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M1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6h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T08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上传与任务接口回归测试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汪婧文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M1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6h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T09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基础增强与组合处理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花用科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M2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8h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T10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结果下载与自动清理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赖娴艳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M2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6h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T11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原图结果对比与下载交互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王博雅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M2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6h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T12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核心流程与资源隔离测试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汪婧文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M2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8h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T13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风格预设与参数配置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花用科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M3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5h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T14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资源服务健壮性修复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赖娴艳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M3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6h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T15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最近任务记录与交互完善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王博雅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M3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5h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T16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发布验证与覆盖率报告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汪婧文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M3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8h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黑体" w:hAnsi="黑体" w:eastAsia="黑体" w:cs="黑体"/>
          <w:b/>
          <w:color w:val="000000"/>
          <w:sz w:val="24"/>
        </w:rPr>
        <w:t>2.1 任务落地规则</w:t>
      </w:r>
    </w:p>
    <w:p>
      <w:r>
        <w:rPr>
          <w:rFonts w:ascii="宋体" w:hAnsi="宋体" w:eastAsia="宋体" w:cs="宋体"/>
          <w:b w:val="0"/>
          <w:color w:val="000000"/>
          <w:sz w:val="22"/>
        </w:rPr>
        <w:t>先确认仓库与权限，再将任务创建为真实Issues并登记映射；Assignee设置本人账号，不能只写中文姓名。依赖T编号改为实际Issue链接。T01合并后其余按依赖推进，可提前做测试和契约，但不把mock计为功能完成。大于8小时的任务按独立验收价值拆分，不为数量拆微小改动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 w:cs="黑体"/>
          <w:b/>
          <w:color w:val="000000"/>
          <w:sz w:val="28"/>
        </w:rPr>
        <w:t>3 分布式协作流程</w:t>
      </w:r>
    </w:p>
    <w:p>
      <w:pPr>
        <w:pStyle w:val="Heading2"/>
      </w:pPr>
      <w:r>
        <w:rPr>
          <w:rFonts w:ascii="黑体" w:hAnsi="黑体" w:eastAsia="黑体" w:cs="黑体"/>
          <w:b/>
          <w:color w:val="000000"/>
          <w:sz w:val="24"/>
        </w:rPr>
        <w:t>3.1 仓库与保护规则</w:t>
      </w:r>
    </w:p>
    <w:p>
      <w:r>
        <w:rPr>
          <w:rFonts w:ascii="宋体" w:hAnsi="宋体" w:eastAsia="宋体" w:cs="宋体"/>
          <w:b w:val="0"/>
          <w:color w:val="000000"/>
          <w:sz w:val="22"/>
        </w:rPr>
        <w:t>共享仓库加Collaborator，不要求每人Fork。组长邀请三名组员，本人接受。课程方案要求数据来自课程GitHub Organization，需向教师核对当前个人仓库是否迁入组织，不默认当前地址已满足归属要求。</w:t>
      </w:r>
    </w:p>
    <w:p>
      <w:r>
        <w:rPr>
          <w:rFonts w:ascii="宋体" w:hAnsi="宋体" w:eastAsia="宋体" w:cs="宋体"/>
          <w:b w:val="0"/>
          <w:color w:val="000000"/>
          <w:sz w:val="22"/>
        </w:rPr>
        <w:t>main启用PR、至少1个非作者Approve、提交更新后旧Approve失效、必需状态检查、解决对话后合并、禁止强推与删除。首次CI真实运行后将其实际check名称设置为Required，YAML文件本身不证明门禁开启。</w:t>
      </w:r>
    </w:p>
    <w:p>
      <w:pPr>
        <w:pStyle w:val="Heading2"/>
      </w:pPr>
      <w:r>
        <w:rPr>
          <w:rFonts w:ascii="黑体" w:hAnsi="黑体" w:eastAsia="黑体" w:cs="黑体"/>
          <w:b/>
          <w:color w:val="000000"/>
          <w:sz w:val="24"/>
        </w:rPr>
        <w:t>3.2 一项任务的闭环</w:t>
      </w:r>
    </w:p>
    <w:p>
      <w:r>
        <w:rPr>
          <w:rFonts w:ascii="宋体" w:hAnsi="宋体" w:eastAsia="宋体" w:cs="宋体"/>
          <w:b w:val="0"/>
          <w:color w:val="000000"/>
          <w:sz w:val="22"/>
        </w:rPr>
        <w:t>认领Issue → 同步main并建任务分支 → 实现和自测 → 有意义Commit → Push → PR关联Issue → 非作者Review → 修改和重新检查 → Approve且CI通过 → Merge → 自动关闭Issue → 删除已合并分支并同步。</w:t>
      </w:r>
    </w:p>
    <w:p>
      <w:r>
        <w:rPr>
          <w:rFonts w:ascii="宋体" w:hAnsi="宋体" w:eastAsia="宋体" w:cs="宋体"/>
          <w:b w:val="0"/>
          <w:color w:val="000000"/>
          <w:sz w:val="22"/>
        </w:rPr>
        <w:t>分支feature/&lt;实际issue号&gt;-&lt;英文简述&gt;，缺陷bugfix/，紧急修复hotfix/，文档构建chore/。所有人含组长不得直推main。提交格式type(scope): subject，英文祈使句且≤72字符；类型feat、fix、docs、test、refactor、perf、style、chore。</w:t>
      </w:r>
    </w:p>
    <w:p>
      <w:pPr>
        <w:pStyle w:val="Heading2"/>
      </w:pPr>
      <w:r>
        <w:rPr>
          <w:rFonts w:ascii="黑体" w:hAnsi="黑体" w:eastAsia="黑体" w:cs="黑体"/>
          <w:b/>
          <w:color w:val="000000"/>
          <w:sz w:val="24"/>
        </w:rPr>
        <w:t>3.3 PR与真实评审</w:t>
      </w:r>
    </w:p>
    <w:p>
      <w:r>
        <w:rPr>
          <w:rFonts w:ascii="宋体" w:hAnsi="宋体" w:eastAsia="宋体" w:cs="宋体"/>
          <w:b w:val="0"/>
          <w:color w:val="000000"/>
          <w:sz w:val="22"/>
        </w:rPr>
        <w:t>PR填Closes #实际Issue号、变更、真实测试、自查与来源。建议≤400行，&gt;800行说明并拆分。Word变更说明章节并附Markdown摘要便于审阅。每个PR至少1条非作者实质意见及1个非作者Approve。</w:t>
      </w:r>
    </w:p>
    <w:p>
      <w:r>
        <w:rPr>
          <w:rFonts w:ascii="宋体" w:hAnsi="宋体" w:eastAsia="宋体" w:cs="宋体"/>
          <w:b w:val="0"/>
          <w:color w:val="000000"/>
          <w:sz w:val="22"/>
        </w:rPr>
        <w:t>48小时内响应；有效意见有定位、原因、建议。发现真实问题时Request changes并修改再审。课程要求每人至少1个PR有完整往返，应认真检查实际问题，不安排假评论或虚构往返。</w:t>
      </w:r>
    </w:p>
    <w:p>
      <w:pPr>
        <w:pStyle w:val="Heading2"/>
      </w:pPr>
      <w:r>
        <w:rPr>
          <w:rFonts w:ascii="黑体" w:hAnsi="黑体" w:eastAsia="黑体" w:cs="黑体"/>
          <w:b/>
          <w:color w:val="000000"/>
          <w:sz w:val="24"/>
        </w:rPr>
        <w:t>3.4 CI与发布</w:t>
      </w:r>
    </w:p>
    <w:p>
      <w:r>
        <w:rPr>
          <w:rFonts w:ascii="宋体" w:hAnsi="宋体" w:eastAsia="宋体" w:cs="宋体"/>
          <w:b w:val="0"/>
          <w:color w:val="000000"/>
          <w:sz w:val="22"/>
        </w:rPr>
        <w:t>T04由汪婧文实现依赖安装、有效测试、构建，建议加Lint；核心Service/API覆盖率≥40%。mock用于单元测试，实际算法另保留样本、环境及日志。尚无代码时不使用空测试伪装成功。</w:t>
      </w:r>
    </w:p>
    <w:p>
      <w:r>
        <w:rPr>
          <w:rFonts w:ascii="宋体" w:hAnsi="宋体" w:eastAsia="宋体" w:cs="宋体"/>
          <w:b w:val="0"/>
          <w:color w:val="000000"/>
          <w:sz w:val="22"/>
        </w:rPr>
        <w:t>验收后发布v0.1.0、v0.2.0及v1.0.0，写新增、修复、限制和贡献者。文档完成不能记为Alpha已发布。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 w:cs="黑体"/>
          <w:b/>
          <w:color w:val="000000"/>
          <w:sz w:val="28"/>
        </w:rPr>
        <w:t>4 考核对照与证据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7"/>
        <w:gridCol w:w="3628"/>
        <w:gridCol w:w="3969"/>
      </w:tblGrid>
      <w:tr>
        <w:trPr>
          <w:cantSplit/>
          <w:tblHeader/>
        </w:trPr>
        <w:tc>
          <w:tcPr>
            <w:tcW w:type="dxa" w:w="158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40" w:before="40" w:line="269" w:lineRule="auto"/>
            </w:pPr>
            <w:r>
              <w:rPr>
                <w:rFonts w:ascii="黑体" w:hAnsi="黑体" w:eastAsia="黑体" w:cs="黑体"/>
                <w:b/>
                <w:color w:val="000000"/>
                <w:sz w:val="20"/>
              </w:rPr>
              <w:t>项目</w:t>
            </w:r>
          </w:p>
        </w:tc>
        <w:tc>
          <w:tcPr>
            <w:tcW w:type="dxa" w:w="36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40" w:before="40" w:line="269" w:lineRule="auto"/>
            </w:pPr>
            <w:r>
              <w:rPr>
                <w:rFonts w:ascii="黑体" w:hAnsi="黑体" w:eastAsia="黑体" w:cs="黑体"/>
                <w:b/>
                <w:color w:val="000000"/>
                <w:sz w:val="20"/>
              </w:rPr>
              <w:t>课程要求</w:t>
            </w:r>
          </w:p>
        </w:tc>
        <w:tc>
          <w:tcPr>
            <w:tcW w:type="dxa" w:w="396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40" w:before="40" w:line="269" w:lineRule="auto"/>
            </w:pPr>
            <w:r>
              <w:rPr>
                <w:rFonts w:ascii="黑体" w:hAnsi="黑体" w:eastAsia="黑体" w:cs="黑体"/>
                <w:b/>
                <w:color w:val="000000"/>
                <w:sz w:val="20"/>
              </w:rPr>
              <w:t>本组落实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A1 需求规划</w:t>
            </w:r>
          </w:p>
        </w:tc>
        <w:tc>
          <w:tcPr>
            <w:tcW w:type="dxa" w:w="36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至少16个有效Issue、至少2个迭代</w:t>
            </w:r>
          </w:p>
        </w:tc>
        <w:tc>
          <w:tcPr>
            <w:tcW w:type="dxa" w:w="396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SRS、任务正文齐备；远程链接待补。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A2 设计</w:t>
            </w:r>
          </w:p>
        </w:tc>
        <w:tc>
          <w:tcPr>
            <w:tcW w:type="dxa" w:w="36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架构图及数据模型图或接口清单</w:t>
            </w:r>
          </w:p>
        </w:tc>
        <w:tc>
          <w:tcPr>
            <w:tcW w:type="dxa" w:w="396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README含初步架构，SRS含契约；M1完善实现设计。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A3 功能</w:t>
            </w:r>
          </w:p>
        </w:tc>
        <w:tc>
          <w:tcPr>
            <w:tcW w:type="dxa" w:w="36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P0全部、P1至少70%，可启动</w:t>
            </w:r>
          </w:p>
        </w:tc>
        <w:tc>
          <w:tcPr>
            <w:tcW w:type="dxa" w:w="396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依SRS验收；当前未编码不填完成率。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A4—A6 过程</w:t>
            </w:r>
          </w:p>
        </w:tc>
        <w:tc>
          <w:tcPr>
            <w:tcW w:type="dxa" w:w="36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main保护、PR、评审、CI，覆盖率≥40%</w:t>
            </w:r>
          </w:p>
        </w:tc>
        <w:tc>
          <w:tcPr>
            <w:tcW w:type="dxa" w:w="396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截图、PR、Review、Actions与覆盖率逐项保留。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A7—A8 文档发布</w:t>
            </w:r>
          </w:p>
        </w:tc>
        <w:tc>
          <w:tcPr>
            <w:tcW w:type="dxa" w:w="36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README及LICENSE必交，至少Alpha和终版Release</w:t>
            </w:r>
          </w:p>
        </w:tc>
        <w:tc>
          <w:tcPr>
            <w:tcW w:type="dxa" w:w="396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README是立项初稿；首次代码发布前确定自研LICENSE，第三方条款分开保留。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B1—B3 交付</w:t>
            </w:r>
          </w:p>
        </w:tc>
        <w:tc>
          <w:tcPr>
            <w:tcW w:type="dxa" w:w="36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每人≥4闭环Issue、≥8有效已合并Commit、≥4合并PR</w:t>
            </w:r>
          </w:p>
        </w:tc>
        <w:tc>
          <w:tcPr>
            <w:tcW w:type="dxa" w:w="396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每人4项代码任务，按真实逻辑提交，不刷量。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B4 评审</w:t>
            </w:r>
          </w:p>
        </w:tc>
        <w:tc>
          <w:tcPr>
            <w:tcW w:type="dxa" w:w="36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每人≥6有效意见，分布≥3个PR；48小时响应</w:t>
            </w:r>
          </w:p>
        </w:tc>
        <w:tc>
          <w:tcPr>
            <w:tcW w:type="dxa" w:w="396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按交叉评审执行，实际问题实际修改。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B5 测试</w:t>
            </w:r>
          </w:p>
        </w:tc>
        <w:tc>
          <w:tcPr>
            <w:tcW w:type="dxa" w:w="36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≥5有效用例或≥2个合并bugfix PR；另可有CI贡献</w:t>
            </w:r>
          </w:p>
        </w:tc>
        <w:tc>
          <w:tcPr>
            <w:tcW w:type="dxa" w:w="396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各成员补测试；硬性下限表列5用例或2bugfix，统一按此目标规划。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B6—B7 文档答辩</w:t>
            </w:r>
          </w:p>
        </w:tc>
        <w:tc>
          <w:tcPr>
            <w:tcW w:type="dxa" w:w="36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docs≥3次或实质讨论≥5条；全程会议≥4次；个人说明有链接</w:t>
            </w:r>
          </w:p>
        </w:tc>
        <w:tc>
          <w:tcPr>
            <w:tcW w:type="dxa" w:w="396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实际召开后入docs/meetings；个人说明入docs/contributions，不补造历史。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黑体" w:hAnsi="黑体" w:eastAsia="黑体" w:cs="黑体"/>
          <w:b/>
          <w:color w:val="000000"/>
          <w:sz w:val="24"/>
        </w:rPr>
        <w:t>4.1 提交检查与来源</w:t>
      </w:r>
    </w:p>
    <w:p>
      <w:r>
        <w:rPr>
          <w:rFonts w:ascii="宋体" w:hAnsi="宋体" w:eastAsia="宋体" w:cs="宋体"/>
          <w:b w:val="0"/>
          <w:color w:val="000000"/>
          <w:sz w:val="22"/>
        </w:rPr>
        <w:t>本地文件已形成。正式提交前全组核对章节及个人栏，组长补报告起始日期、账号和组织要求，落实真实Issue与Milestone并登记证据。三份Word和附件3整体提交，渲染预览不作为附件。</w:t>
      </w:r>
    </w:p>
    <w:p>
      <w:r>
        <w:rPr>
          <w:rFonts w:ascii="宋体" w:hAnsi="宋体" w:eastAsia="宋体" w:cs="宋体"/>
          <w:b w:val="0"/>
          <w:color w:val="000000"/>
          <w:sz w:val="22"/>
        </w:rPr>
        <w:t>依据教师两份PDF、报告模板和本组项目构想编制。项目从零设计开发，不以已有应用作为底座。各成员应核对负责章节、理解设计方案并完成修订与验证，相关工作通过仓库记录跟踪。</w:t>
      </w:r>
    </w:p>
    <w:sectPr w:rsidR="00FC693F" w:rsidRPr="0006063C" w:rsidSect="00034616">
      <w:footerReference w:type="default" r:id="rId9"/>
      <w:pgSz w:w="11906" w:h="16838"/>
      <w:pgMar w:top="1191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 w:cs="宋体"/>
        <w:b w:val="0"/>
        <w:color w:val="000000"/>
        <w:sz w:val="18"/>
      </w:rPr>
      <w:t xml:space="preserve">第 </w:t>
    </w:r>
    <w:fldSimple w:instr="PAGE"/>
    <w:r>
      <w:rPr>
        <w:rFonts w:ascii="宋体" w:hAnsi="宋体" w:eastAsia="宋体" w:cs="宋体"/>
        <w:b w:val="0"/>
        <w:color w:val="00000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00"/>
    </w:pPr>
    <w:rPr>
      <w:rFonts w:ascii="宋体" w:hAnsi="宋体" w:eastAsia="宋体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="黑体" w:hAnsi="黑体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="黑体" w:hAnsi="黑体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黑体" w:hAnsi="黑体" w:eastAsia="黑体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第3组分工与GitHub协作计划</dc:title>
  <dc:subject/>
  <dc:creator>第3组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