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基于梯度提升回归的</w:t>
        <w:br/>
        <w:t>混凝土抗压强度预测模型研究</w:t>
      </w:r>
    </w:p>
    <w:p/>
    <w:p>
      <w:pPr>
        <w:pStyle w:val="Heading1"/>
      </w:pPr>
      <w:r>
        <w:rPr>
          <w:rFonts w:ascii="黑体" w:hAnsi="黑体" w:eastAsia="黑体"/>
          <w:sz w:val="32"/>
        </w:rPr>
        <w:t>摘  要</w:t>
      </w:r>
    </w:p>
    <w:p>
      <w:pPr>
        <w:ind w:firstLine="420"/>
      </w:pPr>
      <w:r>
        <w:rPr>
          <w:rFonts w:ascii="宋体" w:hAnsi="宋体" w:eastAsia="宋体"/>
          <w:b w:val="0"/>
          <w:sz w:val="24"/>
        </w:rPr>
        <w:t>混凝土抗压强度是结构工程设计的核心控制指标，传统配合比设计依赖于大量试配实验，成本高且周期长。针对基于配合比参数精确预测混凝土28天及任意龄期抗压强度的问题，本文使用Yeh(2007)提供的1030组混凝土配合比-强度数据集，建立了线性与非线性两类预测模型。针对线性模型难以捕捉配合比参数间非线性交互效应的问题，使用普通最小二乘回归、岭回归与Lasso回归进行建模，结果表明三种线性模型的决定系数R²均为0.498，交叉验证R²约为0.603，线性假设无法有效解释抗压强度的变异。针对线性模型精度不足的问题，采用随机森林与梯度提升回归树两类集成学习算法构建非线性预测模型。结果表明随机森林的R²达到0.874，RMSE为5.260 MPa；梯度提升回归树的R²达到0.901，RMSE为4.670 MPa，交叉验证R²均值为0.912。相比线性模型，梯度提升回归树的R²提升了0.403，预测误差降低了55.6%。由随机森林特征重要性排序可知，龄期(重要性0.355)和水泥用量(重要性0.319)是影响抗压强度的两个最关键因素，二者合计贡献了超过67%的预测能力。模型对比分析表明，梯度提升回归树在预测精度和泛化能力方面均优于传统线性模型和随机森林模型。</w:t>
      </w:r>
    </w:p>
    <w:p>
      <w:r>
        <w:rPr>
          <w:rFonts w:ascii="黑体" w:hAnsi="黑体" w:eastAsia="黑体"/>
          <w:b/>
          <w:sz w:val="24"/>
        </w:rPr>
        <w:t>关键词：</w:t>
      </w:r>
      <w:r>
        <w:rPr>
          <w:sz w:val="24"/>
        </w:rPr>
        <w:t>混凝土抗压强度；梯度提升回归树；随机森林；配合比设计；集成学习；特征重要性</w:t>
      </w:r>
    </w:p>
    <w:p>
      <w:r>
        <w:br w:type="page"/>
      </w:r>
    </w:p>
    <w:p>
      <w:pPr>
        <w:pStyle w:val="Heading1"/>
      </w:pPr>
      <w:r>
        <w:rPr>
          <w:rFonts w:ascii="黑体" w:hAnsi="黑体" w:eastAsia="黑体"/>
          <w:sz w:val="32"/>
        </w:rPr>
        <w:t>一、问题重述</w:t>
      </w:r>
    </w:p>
    <w:p>
      <w:pPr>
        <w:pStyle w:val="Heading2"/>
      </w:pPr>
      <w:r>
        <w:rPr>
          <w:rFonts w:ascii="黑体" w:hAnsi="黑体" w:eastAsia="黑体"/>
          <w:sz w:val="28"/>
        </w:rPr>
        <w:t>1.1 问题背景</w:t>
      </w:r>
    </w:p>
    <w:p>
      <w:pPr>
        <w:ind w:firstLine="420"/>
      </w:pPr>
      <w:r>
        <w:rPr>
          <w:rFonts w:ascii="宋体" w:hAnsi="宋体" w:eastAsia="宋体"/>
          <w:b w:val="0"/>
          <w:sz w:val="24"/>
        </w:rPr>
        <w:t>混凝土是土木工程领域使用量最大的建筑材料，全球年产量超过300亿吨。抗压强度是混凝土结构设计中的核心力学性能指标，直接决定构件的承载能力和使用安全性。在工程实践中，混凝土配合比设计——即确定水泥、水、粗细骨料、矿物掺合料和外加剂的合理比例——是决定抗压强度的关键环节。</w:t>
      </w:r>
    </w:p>
    <w:p>
      <w:pPr>
        <w:ind w:firstLine="420"/>
      </w:pPr>
      <w:r>
        <w:rPr>
          <w:rFonts w:ascii="宋体" w:hAnsi="宋体" w:eastAsia="宋体"/>
          <w:b w:val="0"/>
          <w:sz w:val="24"/>
        </w:rPr>
        <w:t>传统的配合比设计方法以大量试配实验为基础。参照JGJ 55-2011《普通混凝土配合比设计规程》，一个标号混凝土的配合比确定需经过初步计算、试配调整、强度复验三个阶段，至少进行3-5批次的实验室试配。每组试配需成型至少3个150mm立方体试块，在标准养护条件下养护28天后进行抗压强度试验。从配合比设计到获得28天强度数据，周期至少30天。对于掺有矿物掺合料或多组分外加剂的高性能混凝土，配合比参数的交互效应更为复杂，试配次数和周期进一步增加。</w:t>
      </w:r>
    </w:p>
    <w:p>
      <w:pPr>
        <w:ind w:firstLine="420"/>
      </w:pPr>
      <w:r>
        <w:rPr>
          <w:rFonts w:ascii="宋体" w:hAnsi="宋体" w:eastAsia="宋体"/>
          <w:b w:val="0"/>
          <w:sz w:val="24"/>
        </w:rPr>
        <w:t>Yeh[1]最早将人工神经网络引入混凝土强度预测领域，使用8个配合比参数对高性能混凝土抗压强度进行建模，揭示了配合比参数与强度之间存在高度非线性的映射关系。该数据集包含1030组实测数据，已被UCI机器学习数据库收录为基准回归数据集。此后，随机森林、梯度提升、极限梯度提升等集成学习方法被广泛应用于该数据集，取得了R²从0.85到0.95不等的预测精度[2-4]。</w:t>
      </w:r>
    </w:p>
    <w:p>
      <w:pPr>
        <w:ind w:firstLine="420"/>
      </w:pPr>
      <w:r>
        <w:rPr>
          <w:rFonts w:ascii="宋体" w:hAnsi="宋体" w:eastAsia="宋体"/>
          <w:b w:val="0"/>
          <w:sz w:val="24"/>
        </w:rPr>
        <w:t>本文基于该基准数据集，系统比较线性回归模型与集成学习模型在混凝土抗压强度预测任务上的性能差异，定量分析各配合比参数的相对重要性，并探讨龄期与胶凝材料用量之间的非线性交互效应对强度发展的影响规律。</w:t>
      </w:r>
    </w:p>
    <w:p>
      <w:pPr>
        <w:pStyle w:val="Heading2"/>
      </w:pPr>
      <w:r>
        <w:rPr>
          <w:rFonts w:ascii="黑体" w:hAnsi="黑体" w:eastAsia="黑体"/>
          <w:sz w:val="28"/>
        </w:rPr>
        <w:t>1.2 本文拟解决的问题</w:t>
      </w:r>
    </w:p>
    <w:p>
      <w:pPr>
        <w:ind w:firstLine="420"/>
      </w:pPr>
      <w:r>
        <w:rPr>
          <w:rFonts w:ascii="宋体" w:hAnsi="宋体" w:eastAsia="宋体"/>
          <w:b w:val="0"/>
          <w:sz w:val="24"/>
        </w:rPr>
        <w:t>（1）混凝土抗压强度的线性预测模型：以8个配合比参数为输入、抗压强度为目标，构建OLS回归、岭回归和Lasso回归三种线性模型。比较预测精度和泛化能力，评估线性假设的适用性，为非线性建模提供基准参照。</w:t>
      </w:r>
    </w:p>
    <w:p>
      <w:pPr>
        <w:ind w:firstLine="420"/>
      </w:pPr>
      <w:r>
        <w:rPr>
          <w:rFonts w:ascii="宋体" w:hAnsi="宋体" w:eastAsia="宋体"/>
          <w:b w:val="0"/>
          <w:sz w:val="24"/>
        </w:rPr>
        <w:t>（2）基于集成学习的非线性强度预测模型：采用随机森林（Bagging）和梯度提升回归树（Boosting）构建非线性预测模型。通过5折交叉验证评估泛化性能，比较两种集成策略的差异化影响，确定最优预测模型。</w:t>
      </w:r>
    </w:p>
    <w:p>
      <w:pPr>
        <w:ind w:firstLine="420"/>
      </w:pPr>
      <w:r>
        <w:rPr>
          <w:rFonts w:ascii="宋体" w:hAnsi="宋体" w:eastAsia="宋体"/>
          <w:b w:val="0"/>
          <w:sz w:val="24"/>
        </w:rPr>
        <w:t>（3）配合比参数的重要性分析与可解释性研究：基于随机森林MDI重要性排序，量化8个参数对强度的相对贡献。使用Pearson相关性和SHAP值分析关键参数的边际效应与非线性交互模式。</w:t>
      </w:r>
    </w:p>
    <w:p>
      <w:pPr>
        <w:ind w:firstLine="420"/>
      </w:pPr>
      <w:r>
        <w:rPr>
          <w:rFonts w:ascii="宋体" w:hAnsi="宋体" w:eastAsia="宋体"/>
          <w:b w:val="0"/>
          <w:sz w:val="24"/>
        </w:rPr>
        <w:t>（4）模型对比与适用性分析：从预测精度、泛化能力、残差分布和可解释性四个维度综合评价各模型，阐明各模型的适用场景。</w:t>
      </w:r>
    </w:p>
    <w:p>
      <w:r>
        <w:br w:type="page"/>
      </w:r>
    </w:p>
    <w:p>
      <w:pPr>
        <w:pStyle w:val="Heading1"/>
      </w:pPr>
      <w:r>
        <w:rPr>
          <w:rFonts w:ascii="黑体" w:hAnsi="黑体" w:eastAsia="黑体"/>
          <w:sz w:val="32"/>
        </w:rPr>
        <w:t>二、模型假设与符号说明</w:t>
      </w:r>
    </w:p>
    <w:p>
      <w:pPr>
        <w:pStyle w:val="Heading2"/>
      </w:pPr>
      <w:r>
        <w:rPr>
          <w:rFonts w:ascii="黑体" w:hAnsi="黑体" w:eastAsia="黑体"/>
          <w:sz w:val="28"/>
        </w:rPr>
        <w:t>2.1 模型的基本假设</w:t>
      </w:r>
    </w:p>
    <w:p>
      <w:pPr>
        <w:ind w:firstLine="420"/>
      </w:pPr>
      <w:r>
        <w:rPr>
          <w:rFonts w:ascii="宋体" w:hAnsi="宋体" w:eastAsia="宋体"/>
          <w:b w:val="0"/>
          <w:sz w:val="24"/>
        </w:rPr>
        <w:t>（1）假设混凝土在标准养护条件（温度20±2℃，相对湿度≥95%）下养护，养护条件对抗压强度的影响已通过龄期变量予以表达，不考虑非标准养护带来的强度偏差。</w:t>
      </w:r>
    </w:p>
    <w:p>
      <w:pPr>
        <w:ind w:firstLine="420"/>
      </w:pPr>
      <w:r>
        <w:rPr>
          <w:rFonts w:ascii="宋体" w:hAnsi="宋体" w:eastAsia="宋体"/>
          <w:b w:val="0"/>
          <w:sz w:val="24"/>
        </w:rPr>
        <w:t>（2）假设原材料的物理化学性质在数据集范围内保持一致，强度差异主要由配合比参数和龄期决定，非原材料品质波动所致。</w:t>
      </w:r>
    </w:p>
    <w:p>
      <w:pPr>
        <w:ind w:firstLine="420"/>
      </w:pPr>
      <w:r>
        <w:rPr>
          <w:rFonts w:ascii="宋体" w:hAnsi="宋体" w:eastAsia="宋体"/>
          <w:b w:val="0"/>
          <w:sz w:val="24"/>
        </w:rPr>
        <w:t>（3）假设各配合比参数之间不存在完全的共线性关系。经Pearson相关性验证——8个特征间的两两相关系数绝对值均低于0.66。</w:t>
      </w:r>
    </w:p>
    <w:p>
      <w:pPr>
        <w:ind w:firstLine="420"/>
      </w:pPr>
      <w:r>
        <w:rPr>
          <w:rFonts w:ascii="宋体" w:hAnsi="宋体" w:eastAsia="宋体"/>
          <w:b w:val="0"/>
          <w:sz w:val="24"/>
        </w:rPr>
        <w:t>（4）假设训练集和测试集中的数据点独立同分布，按8:2比例随机划分后两集合分布特征一致，评估结果具有统计代表性。</w:t>
      </w:r>
    </w:p>
    <w:p>
      <w:pPr>
        <w:ind w:firstLine="420"/>
      </w:pPr>
      <w:r>
        <w:rPr>
          <w:rFonts w:ascii="宋体" w:hAnsi="宋体" w:eastAsia="宋体"/>
          <w:b w:val="0"/>
          <w:sz w:val="24"/>
        </w:rPr>
        <w:t>（5）对于集成学习模型，假设个体学习器之间具有足够的差异性，使得集成后的偏差-方差权衡优于单一学习器。</w:t>
      </w:r>
    </w:p>
    <w:p>
      <w:pPr>
        <w:pStyle w:val="Heading2"/>
      </w:pPr>
      <w:r>
        <w:rPr>
          <w:rFonts w:ascii="黑体" w:hAnsi="黑体" w:eastAsia="黑体"/>
          <w:sz w:val="28"/>
        </w:rPr>
        <w:t>2.2 模型符号说明</w:t>
      </w:r>
    </w:p>
    <w:p>
      <w:pPr>
        <w:jc w:val="center"/>
      </w:pPr>
      <w:r>
        <w:rPr>
          <w:rFonts w:ascii="黑体" w:hAnsi="黑体" w:eastAsia="黑体"/>
          <w:b/>
          <w:sz w:val="21"/>
        </w:rPr>
        <w:t>表2.1 模型符号说明</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
              <w:rPr>
                <w:b/>
                <w:sz w:val="20"/>
              </w:rPr>
              <w:t>序号</w:t>
            </w:r>
          </w:p>
        </w:tc>
        <w:tc>
          <w:tcPr>
            <w:tcW w:type="dxa" w:w="2075"/>
          </w:tcPr>
          <w:p>
            <w:pPr>
              <w:jc w:val="center"/>
            </w:pPr>
            <w:r/>
            <w:r>
              <w:rPr>
                <w:b/>
                <w:sz w:val="20"/>
              </w:rPr>
              <w:t>符号</w:t>
            </w:r>
          </w:p>
        </w:tc>
        <w:tc>
          <w:tcPr>
            <w:tcW w:type="dxa" w:w="2075"/>
          </w:tcPr>
          <w:p>
            <w:pPr>
              <w:jc w:val="center"/>
            </w:pPr>
            <w:r/>
            <w:r>
              <w:rPr>
                <w:b/>
                <w:sz w:val="20"/>
              </w:rPr>
              <w:t>说明</w:t>
            </w:r>
          </w:p>
        </w:tc>
        <w:tc>
          <w:tcPr>
            <w:tcW w:type="dxa" w:w="2075"/>
          </w:tcPr>
          <w:p>
            <w:pPr>
              <w:jc w:val="center"/>
            </w:pPr>
            <w:r/>
            <w:r>
              <w:rPr>
                <w:b/>
                <w:sz w:val="20"/>
              </w:rPr>
              <w:t>单位</w:t>
            </w:r>
          </w:p>
        </w:tc>
      </w:tr>
      <w:tr>
        <w:tc>
          <w:tcPr>
            <w:tcW w:type="dxa" w:w="2075"/>
          </w:tcPr>
          <w:p>
            <w:pPr>
              <w:jc w:val="center"/>
            </w:pPr>
            <w:r/>
            <w:r>
              <w:rPr>
                <w:sz w:val="20"/>
              </w:rPr>
              <w:t>1</w:t>
            </w:r>
          </w:p>
        </w:tc>
        <w:tc>
          <w:tcPr>
            <w:tcW w:type="dxa" w:w="2075"/>
          </w:tcPr>
          <w:p>
            <w:pPr>
              <w:jc w:val="center"/>
            </w:pPr>
            <w:r/>
            <w:r>
              <w:rPr>
                <w:sz w:val="20"/>
              </w:rPr>
              <w:t>x1 (cement)</w:t>
            </w:r>
          </w:p>
        </w:tc>
        <w:tc>
          <w:tcPr>
            <w:tcW w:type="dxa" w:w="2075"/>
          </w:tcPr>
          <w:p>
            <w:pPr>
              <w:jc w:val="center"/>
            </w:pPr>
            <w:r/>
            <w:r>
              <w:rPr>
                <w:sz w:val="20"/>
              </w:rPr>
              <w:t>水泥用量</w:t>
            </w:r>
          </w:p>
        </w:tc>
        <w:tc>
          <w:tcPr>
            <w:tcW w:type="dxa" w:w="2075"/>
          </w:tcPr>
          <w:p>
            <w:pPr>
              <w:jc w:val="center"/>
            </w:pPr>
            <w:r/>
            <w:r>
              <w:rPr>
                <w:sz w:val="20"/>
              </w:rPr>
              <w:t>kg/m³</w:t>
            </w:r>
          </w:p>
        </w:tc>
      </w:tr>
      <w:tr>
        <w:tc>
          <w:tcPr>
            <w:tcW w:type="dxa" w:w="2075"/>
          </w:tcPr>
          <w:p>
            <w:pPr>
              <w:jc w:val="center"/>
            </w:pPr>
            <w:r/>
            <w:r>
              <w:rPr>
                <w:sz w:val="20"/>
              </w:rPr>
              <w:t>2</w:t>
            </w:r>
          </w:p>
        </w:tc>
        <w:tc>
          <w:tcPr>
            <w:tcW w:type="dxa" w:w="2075"/>
          </w:tcPr>
          <w:p>
            <w:pPr>
              <w:jc w:val="center"/>
            </w:pPr>
            <w:r/>
            <w:r>
              <w:rPr>
                <w:sz w:val="20"/>
              </w:rPr>
              <w:t>x2 (slag)</w:t>
            </w:r>
          </w:p>
        </w:tc>
        <w:tc>
          <w:tcPr>
            <w:tcW w:type="dxa" w:w="2075"/>
          </w:tcPr>
          <w:p>
            <w:pPr>
              <w:jc w:val="center"/>
            </w:pPr>
            <w:r/>
            <w:r>
              <w:rPr>
                <w:sz w:val="20"/>
              </w:rPr>
              <w:t>高炉矿渣用量</w:t>
            </w:r>
          </w:p>
        </w:tc>
        <w:tc>
          <w:tcPr>
            <w:tcW w:type="dxa" w:w="2075"/>
          </w:tcPr>
          <w:p>
            <w:pPr>
              <w:jc w:val="center"/>
            </w:pPr>
            <w:r/>
            <w:r>
              <w:rPr>
                <w:sz w:val="20"/>
              </w:rPr>
              <w:t>kg/m³</w:t>
            </w:r>
          </w:p>
        </w:tc>
      </w:tr>
      <w:tr>
        <w:tc>
          <w:tcPr>
            <w:tcW w:type="dxa" w:w="2075"/>
          </w:tcPr>
          <w:p>
            <w:pPr>
              <w:jc w:val="center"/>
            </w:pPr>
            <w:r/>
            <w:r>
              <w:rPr>
                <w:sz w:val="20"/>
              </w:rPr>
              <w:t>3</w:t>
            </w:r>
          </w:p>
        </w:tc>
        <w:tc>
          <w:tcPr>
            <w:tcW w:type="dxa" w:w="2075"/>
          </w:tcPr>
          <w:p>
            <w:pPr>
              <w:jc w:val="center"/>
            </w:pPr>
            <w:r/>
            <w:r>
              <w:rPr>
                <w:sz w:val="20"/>
              </w:rPr>
              <w:t>x3 (ash)</w:t>
            </w:r>
          </w:p>
        </w:tc>
        <w:tc>
          <w:tcPr>
            <w:tcW w:type="dxa" w:w="2075"/>
          </w:tcPr>
          <w:p>
            <w:pPr>
              <w:jc w:val="center"/>
            </w:pPr>
            <w:r/>
            <w:r>
              <w:rPr>
                <w:sz w:val="20"/>
              </w:rPr>
              <w:t>粉煤灰用量</w:t>
            </w:r>
          </w:p>
        </w:tc>
        <w:tc>
          <w:tcPr>
            <w:tcW w:type="dxa" w:w="2075"/>
          </w:tcPr>
          <w:p>
            <w:pPr>
              <w:jc w:val="center"/>
            </w:pPr>
            <w:r/>
            <w:r>
              <w:rPr>
                <w:sz w:val="20"/>
              </w:rPr>
              <w:t>kg/m³</w:t>
            </w:r>
          </w:p>
        </w:tc>
      </w:tr>
      <w:tr>
        <w:tc>
          <w:tcPr>
            <w:tcW w:type="dxa" w:w="2075"/>
          </w:tcPr>
          <w:p>
            <w:pPr>
              <w:jc w:val="center"/>
            </w:pPr>
            <w:r/>
            <w:r>
              <w:rPr>
                <w:sz w:val="20"/>
              </w:rPr>
              <w:t>4</w:t>
            </w:r>
          </w:p>
        </w:tc>
        <w:tc>
          <w:tcPr>
            <w:tcW w:type="dxa" w:w="2075"/>
          </w:tcPr>
          <w:p>
            <w:pPr>
              <w:jc w:val="center"/>
            </w:pPr>
            <w:r/>
            <w:r>
              <w:rPr>
                <w:sz w:val="20"/>
              </w:rPr>
              <w:t>x4 (water)</w:t>
            </w:r>
          </w:p>
        </w:tc>
        <w:tc>
          <w:tcPr>
            <w:tcW w:type="dxa" w:w="2075"/>
          </w:tcPr>
          <w:p>
            <w:pPr>
              <w:jc w:val="center"/>
            </w:pPr>
            <w:r/>
            <w:r>
              <w:rPr>
                <w:sz w:val="20"/>
              </w:rPr>
              <w:t>用水量</w:t>
            </w:r>
          </w:p>
        </w:tc>
        <w:tc>
          <w:tcPr>
            <w:tcW w:type="dxa" w:w="2075"/>
          </w:tcPr>
          <w:p>
            <w:pPr>
              <w:jc w:val="center"/>
            </w:pPr>
            <w:r/>
            <w:r>
              <w:rPr>
                <w:sz w:val="20"/>
              </w:rPr>
              <w:t>kg/m³</w:t>
            </w:r>
          </w:p>
        </w:tc>
      </w:tr>
      <w:tr>
        <w:tc>
          <w:tcPr>
            <w:tcW w:type="dxa" w:w="2075"/>
          </w:tcPr>
          <w:p>
            <w:pPr>
              <w:jc w:val="center"/>
            </w:pPr>
            <w:r/>
            <w:r>
              <w:rPr>
                <w:sz w:val="20"/>
              </w:rPr>
              <w:t>5</w:t>
            </w:r>
          </w:p>
        </w:tc>
        <w:tc>
          <w:tcPr>
            <w:tcW w:type="dxa" w:w="2075"/>
          </w:tcPr>
          <w:p>
            <w:pPr>
              <w:jc w:val="center"/>
            </w:pPr>
            <w:r/>
            <w:r>
              <w:rPr>
                <w:sz w:val="20"/>
              </w:rPr>
              <w:t>x5 (superplastic)</w:t>
            </w:r>
          </w:p>
        </w:tc>
        <w:tc>
          <w:tcPr>
            <w:tcW w:type="dxa" w:w="2075"/>
          </w:tcPr>
          <w:p>
            <w:pPr>
              <w:jc w:val="center"/>
            </w:pPr>
            <w:r/>
            <w:r>
              <w:rPr>
                <w:sz w:val="20"/>
              </w:rPr>
              <w:t>超塑化剂用量</w:t>
            </w:r>
          </w:p>
        </w:tc>
        <w:tc>
          <w:tcPr>
            <w:tcW w:type="dxa" w:w="2075"/>
          </w:tcPr>
          <w:p>
            <w:pPr>
              <w:jc w:val="center"/>
            </w:pPr>
            <w:r/>
            <w:r>
              <w:rPr>
                <w:sz w:val="20"/>
              </w:rPr>
              <w:t>kg/m³</w:t>
            </w:r>
          </w:p>
        </w:tc>
      </w:tr>
      <w:tr>
        <w:tc>
          <w:tcPr>
            <w:tcW w:type="dxa" w:w="2075"/>
          </w:tcPr>
          <w:p>
            <w:pPr>
              <w:jc w:val="center"/>
            </w:pPr>
            <w:r/>
            <w:r>
              <w:rPr>
                <w:sz w:val="20"/>
              </w:rPr>
              <w:t>6</w:t>
            </w:r>
          </w:p>
        </w:tc>
        <w:tc>
          <w:tcPr>
            <w:tcW w:type="dxa" w:w="2075"/>
          </w:tcPr>
          <w:p>
            <w:pPr>
              <w:jc w:val="center"/>
            </w:pPr>
            <w:r/>
            <w:r>
              <w:rPr>
                <w:sz w:val="20"/>
              </w:rPr>
              <w:t>x6 (coarseagg)</w:t>
            </w:r>
          </w:p>
        </w:tc>
        <w:tc>
          <w:tcPr>
            <w:tcW w:type="dxa" w:w="2075"/>
          </w:tcPr>
          <w:p>
            <w:pPr>
              <w:jc w:val="center"/>
            </w:pPr>
            <w:r/>
            <w:r>
              <w:rPr>
                <w:sz w:val="20"/>
              </w:rPr>
              <w:t>粗骨料用量</w:t>
            </w:r>
          </w:p>
        </w:tc>
        <w:tc>
          <w:tcPr>
            <w:tcW w:type="dxa" w:w="2075"/>
          </w:tcPr>
          <w:p>
            <w:pPr>
              <w:jc w:val="center"/>
            </w:pPr>
            <w:r/>
            <w:r>
              <w:rPr>
                <w:sz w:val="20"/>
              </w:rPr>
              <w:t>kg/m³</w:t>
            </w:r>
          </w:p>
        </w:tc>
      </w:tr>
      <w:tr>
        <w:tc>
          <w:tcPr>
            <w:tcW w:type="dxa" w:w="2075"/>
          </w:tcPr>
          <w:p>
            <w:pPr>
              <w:jc w:val="center"/>
            </w:pPr>
            <w:r/>
            <w:r>
              <w:rPr>
                <w:sz w:val="20"/>
              </w:rPr>
              <w:t>7</w:t>
            </w:r>
          </w:p>
        </w:tc>
        <w:tc>
          <w:tcPr>
            <w:tcW w:type="dxa" w:w="2075"/>
          </w:tcPr>
          <w:p>
            <w:pPr>
              <w:jc w:val="center"/>
            </w:pPr>
            <w:r/>
            <w:r>
              <w:rPr>
                <w:sz w:val="20"/>
              </w:rPr>
              <w:t>x7 (fineagg)</w:t>
            </w:r>
          </w:p>
        </w:tc>
        <w:tc>
          <w:tcPr>
            <w:tcW w:type="dxa" w:w="2075"/>
          </w:tcPr>
          <w:p>
            <w:pPr>
              <w:jc w:val="center"/>
            </w:pPr>
            <w:r/>
            <w:r>
              <w:rPr>
                <w:sz w:val="20"/>
              </w:rPr>
              <w:t>细骨料用量</w:t>
            </w:r>
          </w:p>
        </w:tc>
        <w:tc>
          <w:tcPr>
            <w:tcW w:type="dxa" w:w="2075"/>
          </w:tcPr>
          <w:p>
            <w:pPr>
              <w:jc w:val="center"/>
            </w:pPr>
            <w:r/>
            <w:r>
              <w:rPr>
                <w:sz w:val="20"/>
              </w:rPr>
              <w:t>kg/m³</w:t>
            </w:r>
          </w:p>
        </w:tc>
      </w:tr>
      <w:tr>
        <w:tc>
          <w:tcPr>
            <w:tcW w:type="dxa" w:w="2075"/>
          </w:tcPr>
          <w:p>
            <w:pPr>
              <w:jc w:val="center"/>
            </w:pPr>
            <w:r/>
            <w:r>
              <w:rPr>
                <w:sz w:val="20"/>
              </w:rPr>
              <w:t>8</w:t>
            </w:r>
          </w:p>
        </w:tc>
        <w:tc>
          <w:tcPr>
            <w:tcW w:type="dxa" w:w="2075"/>
          </w:tcPr>
          <w:p>
            <w:pPr>
              <w:jc w:val="center"/>
            </w:pPr>
            <w:r/>
            <w:r>
              <w:rPr>
                <w:sz w:val="20"/>
              </w:rPr>
              <w:t>x8 (age)</w:t>
            </w:r>
          </w:p>
        </w:tc>
        <w:tc>
          <w:tcPr>
            <w:tcW w:type="dxa" w:w="2075"/>
          </w:tcPr>
          <w:p>
            <w:pPr>
              <w:jc w:val="center"/>
            </w:pPr>
            <w:r/>
            <w:r>
              <w:rPr>
                <w:sz w:val="20"/>
              </w:rPr>
              <w:t>养护龄期</w:t>
            </w:r>
          </w:p>
        </w:tc>
        <w:tc>
          <w:tcPr>
            <w:tcW w:type="dxa" w:w="2075"/>
          </w:tcPr>
          <w:p>
            <w:pPr>
              <w:jc w:val="center"/>
            </w:pPr>
            <w:r/>
            <w:r>
              <w:rPr>
                <w:sz w:val="20"/>
              </w:rPr>
              <w:t>天</w:t>
            </w:r>
          </w:p>
        </w:tc>
      </w:tr>
      <w:tr>
        <w:tc>
          <w:tcPr>
            <w:tcW w:type="dxa" w:w="2075"/>
          </w:tcPr>
          <w:p>
            <w:pPr>
              <w:jc w:val="center"/>
            </w:pPr>
            <w:r/>
            <w:r>
              <w:rPr>
                <w:sz w:val="20"/>
              </w:rPr>
              <w:t>9</w:t>
            </w:r>
          </w:p>
        </w:tc>
        <w:tc>
          <w:tcPr>
            <w:tcW w:type="dxa" w:w="2075"/>
          </w:tcPr>
          <w:p>
            <w:pPr>
              <w:jc w:val="center"/>
            </w:pPr>
            <w:r/>
            <w:r>
              <w:rPr>
                <w:sz w:val="20"/>
              </w:rPr>
              <w:t>y</w:t>
            </w:r>
          </w:p>
        </w:tc>
        <w:tc>
          <w:tcPr>
            <w:tcW w:type="dxa" w:w="2075"/>
          </w:tcPr>
          <w:p>
            <w:pPr>
              <w:jc w:val="center"/>
            </w:pPr>
            <w:r/>
            <w:r>
              <w:rPr>
                <w:sz w:val="20"/>
              </w:rPr>
              <w:t>抗压强度真实值</w:t>
            </w:r>
          </w:p>
        </w:tc>
        <w:tc>
          <w:tcPr>
            <w:tcW w:type="dxa" w:w="2075"/>
          </w:tcPr>
          <w:p>
            <w:pPr>
              <w:jc w:val="center"/>
            </w:pPr>
            <w:r/>
            <w:r>
              <w:rPr>
                <w:sz w:val="20"/>
              </w:rPr>
              <w:t>MPa</w:t>
            </w:r>
          </w:p>
        </w:tc>
      </w:tr>
      <w:tr>
        <w:tc>
          <w:tcPr>
            <w:tcW w:type="dxa" w:w="2075"/>
          </w:tcPr>
          <w:p>
            <w:pPr>
              <w:jc w:val="center"/>
            </w:pPr>
            <w:r/>
            <w:r>
              <w:rPr>
                <w:sz w:val="20"/>
              </w:rPr>
              <w:t>10</w:t>
            </w:r>
          </w:p>
        </w:tc>
        <w:tc>
          <w:tcPr>
            <w:tcW w:type="dxa" w:w="2075"/>
          </w:tcPr>
          <w:p>
            <w:pPr>
              <w:jc w:val="center"/>
            </w:pPr>
            <w:r/>
            <w:r>
              <w:rPr>
                <w:sz w:val="20"/>
              </w:rPr>
              <w:t>y_hat</w:t>
            </w:r>
          </w:p>
        </w:tc>
        <w:tc>
          <w:tcPr>
            <w:tcW w:type="dxa" w:w="2075"/>
          </w:tcPr>
          <w:p>
            <w:pPr>
              <w:jc w:val="center"/>
            </w:pPr>
            <w:r/>
            <w:r>
              <w:rPr>
                <w:sz w:val="20"/>
              </w:rPr>
              <w:t>抗压强度预测值</w:t>
            </w:r>
          </w:p>
        </w:tc>
        <w:tc>
          <w:tcPr>
            <w:tcW w:type="dxa" w:w="2075"/>
          </w:tcPr>
          <w:p>
            <w:pPr>
              <w:jc w:val="center"/>
            </w:pPr>
            <w:r/>
            <w:r>
              <w:rPr>
                <w:sz w:val="20"/>
              </w:rPr>
              <w:t>MPa</w:t>
            </w:r>
          </w:p>
        </w:tc>
      </w:tr>
      <w:tr>
        <w:tc>
          <w:tcPr>
            <w:tcW w:type="dxa" w:w="2075"/>
          </w:tcPr>
          <w:p>
            <w:pPr>
              <w:jc w:val="center"/>
            </w:pPr>
            <w:r/>
            <w:r>
              <w:rPr>
                <w:sz w:val="20"/>
              </w:rPr>
              <w:t>11</w:t>
            </w:r>
          </w:p>
        </w:tc>
        <w:tc>
          <w:tcPr>
            <w:tcW w:type="dxa" w:w="2075"/>
          </w:tcPr>
          <w:p>
            <w:pPr>
              <w:jc w:val="center"/>
            </w:pPr>
            <w:r/>
            <w:r>
              <w:rPr>
                <w:sz w:val="20"/>
              </w:rPr>
              <w:t>R²</w:t>
            </w:r>
          </w:p>
        </w:tc>
        <w:tc>
          <w:tcPr>
            <w:tcW w:type="dxa" w:w="2075"/>
          </w:tcPr>
          <w:p>
            <w:pPr>
              <w:jc w:val="center"/>
            </w:pPr>
            <w:r/>
            <w:r>
              <w:rPr>
                <w:sz w:val="20"/>
              </w:rPr>
              <w:t>决定系数</w:t>
            </w:r>
          </w:p>
        </w:tc>
        <w:tc>
          <w:tcPr>
            <w:tcW w:type="dxa" w:w="2075"/>
          </w:tcPr>
          <w:p>
            <w:pPr>
              <w:jc w:val="center"/>
            </w:pPr>
            <w:r/>
            <w:r>
              <w:rPr>
                <w:sz w:val="20"/>
              </w:rPr>
              <w:t>—</w:t>
            </w:r>
          </w:p>
        </w:tc>
      </w:tr>
      <w:tr>
        <w:tc>
          <w:tcPr>
            <w:tcW w:type="dxa" w:w="2075"/>
          </w:tcPr>
          <w:p>
            <w:pPr>
              <w:jc w:val="center"/>
            </w:pPr>
            <w:r/>
            <w:r>
              <w:rPr>
                <w:sz w:val="20"/>
              </w:rPr>
              <w:t>12</w:t>
            </w:r>
          </w:p>
        </w:tc>
        <w:tc>
          <w:tcPr>
            <w:tcW w:type="dxa" w:w="2075"/>
          </w:tcPr>
          <w:p>
            <w:pPr>
              <w:jc w:val="center"/>
            </w:pPr>
            <w:r/>
            <w:r>
              <w:rPr>
                <w:sz w:val="20"/>
              </w:rPr>
              <w:t>RMSE</w:t>
            </w:r>
          </w:p>
        </w:tc>
        <w:tc>
          <w:tcPr>
            <w:tcW w:type="dxa" w:w="2075"/>
          </w:tcPr>
          <w:p>
            <w:pPr>
              <w:jc w:val="center"/>
            </w:pPr>
            <w:r/>
            <w:r>
              <w:rPr>
                <w:sz w:val="20"/>
              </w:rPr>
              <w:t>均方根误差</w:t>
            </w:r>
          </w:p>
        </w:tc>
        <w:tc>
          <w:tcPr>
            <w:tcW w:type="dxa" w:w="2075"/>
          </w:tcPr>
          <w:p>
            <w:pPr>
              <w:jc w:val="center"/>
            </w:pPr>
            <w:r/>
            <w:r>
              <w:rPr>
                <w:sz w:val="20"/>
              </w:rPr>
              <w:t>MPa</w:t>
            </w:r>
          </w:p>
        </w:tc>
      </w:tr>
      <w:tr>
        <w:tc>
          <w:tcPr>
            <w:tcW w:type="dxa" w:w="2075"/>
          </w:tcPr>
          <w:p>
            <w:pPr>
              <w:jc w:val="center"/>
            </w:pPr>
            <w:r/>
            <w:r>
              <w:rPr>
                <w:sz w:val="20"/>
              </w:rPr>
              <w:t>13</w:t>
            </w:r>
          </w:p>
        </w:tc>
        <w:tc>
          <w:tcPr>
            <w:tcW w:type="dxa" w:w="2075"/>
          </w:tcPr>
          <w:p>
            <w:pPr>
              <w:jc w:val="center"/>
            </w:pPr>
            <w:r/>
            <w:r>
              <w:rPr>
                <w:sz w:val="20"/>
              </w:rPr>
              <w:t>MAE</w:t>
            </w:r>
          </w:p>
        </w:tc>
        <w:tc>
          <w:tcPr>
            <w:tcW w:type="dxa" w:w="2075"/>
          </w:tcPr>
          <w:p>
            <w:pPr>
              <w:jc w:val="center"/>
            </w:pPr>
            <w:r/>
            <w:r>
              <w:rPr>
                <w:sz w:val="20"/>
              </w:rPr>
              <w:t>平均绝对误差</w:t>
            </w:r>
          </w:p>
        </w:tc>
        <w:tc>
          <w:tcPr>
            <w:tcW w:type="dxa" w:w="2075"/>
          </w:tcPr>
          <w:p>
            <w:pPr>
              <w:jc w:val="center"/>
            </w:pPr>
            <w:r/>
            <w:r>
              <w:rPr>
                <w:sz w:val="20"/>
              </w:rPr>
              <w:t>MPa</w:t>
            </w:r>
          </w:p>
        </w:tc>
      </w:tr>
    </w:tbl>
    <w:p/>
    <w:p>
      <w:r>
        <w:br w:type="page"/>
      </w:r>
    </w:p>
    <w:p>
      <w:pPr>
        <w:pStyle w:val="Heading1"/>
      </w:pPr>
      <w:r>
        <w:rPr>
          <w:rFonts w:ascii="黑体" w:hAnsi="黑体" w:eastAsia="黑体"/>
          <w:sz w:val="32"/>
        </w:rPr>
        <w:t>三、数据探索与预处理</w:t>
      </w:r>
    </w:p>
    <w:p>
      <w:pPr>
        <w:pStyle w:val="Heading2"/>
      </w:pPr>
      <w:r>
        <w:rPr>
          <w:rFonts w:ascii="黑体" w:hAnsi="黑体" w:eastAsia="黑体"/>
          <w:sz w:val="28"/>
        </w:rPr>
        <w:t>3.1 数据来源与结构</w:t>
      </w:r>
    </w:p>
    <w:p>
      <w:pPr>
        <w:ind w:firstLine="420"/>
      </w:pPr>
      <w:r>
        <w:rPr>
          <w:rFonts w:ascii="宋体" w:hAnsi="宋体" w:eastAsia="宋体"/>
          <w:b w:val="0"/>
          <w:sz w:val="24"/>
        </w:rPr>
        <w:t>本研究数据来源于Yeh[1]公开发布的混凝土抗压强度实验数据集，共1030条样本，每条8个配合比参数+1个目标变量，全部为连续数值型，无缺失值。</w:t>
      </w:r>
    </w:p>
    <w:p>
      <w:pPr>
        <w:jc w:val="center"/>
      </w:pPr>
      <w:r>
        <w:rPr>
          <w:rFonts w:ascii="黑体" w:hAnsi="黑体" w:eastAsia="黑体"/>
          <w:b/>
          <w:sz w:val="21"/>
        </w:rPr>
        <w:t>表3.1 数据集基本信息</w:t>
      </w:r>
    </w:p>
    <w:tbl>
      <w:tblPr>
        <w:tblStyle w:val="TableGrid"/>
        <w:tblW w:type="auto" w:w="0"/>
        <w:tblLook w:firstColumn="1" w:firstRow="1" w:lastColumn="0" w:lastRow="0" w:noHBand="0" w:noVBand="1" w:val="04A0"/>
      </w:tblPr>
      <w:tblGrid>
        <w:gridCol w:w="4150"/>
        <w:gridCol w:w="4150"/>
      </w:tblGrid>
      <w:tr>
        <w:tc>
          <w:tcPr>
            <w:tcW w:type="dxa" w:w="4150"/>
          </w:tcPr>
          <w:p>
            <w:pPr>
              <w:jc w:val="center"/>
            </w:pPr>
            <w:r/>
            <w:r>
              <w:rPr>
                <w:b/>
                <w:sz w:val="20"/>
              </w:rPr>
              <w:t>指标</w:t>
            </w:r>
          </w:p>
        </w:tc>
        <w:tc>
          <w:tcPr>
            <w:tcW w:type="dxa" w:w="4150"/>
          </w:tcPr>
          <w:p>
            <w:pPr>
              <w:jc w:val="center"/>
            </w:pPr>
            <w:r/>
            <w:r>
              <w:rPr>
                <w:b/>
                <w:sz w:val="20"/>
              </w:rPr>
              <w:t>数值</w:t>
            </w:r>
          </w:p>
        </w:tc>
      </w:tr>
      <w:tr>
        <w:tc>
          <w:tcPr>
            <w:tcW w:type="dxa" w:w="4150"/>
          </w:tcPr>
          <w:p>
            <w:pPr>
              <w:jc w:val="center"/>
            </w:pPr>
            <w:r/>
            <w:r>
              <w:rPr>
                <w:sz w:val="20"/>
              </w:rPr>
              <w:t>样本总数</w:t>
            </w:r>
          </w:p>
        </w:tc>
        <w:tc>
          <w:tcPr>
            <w:tcW w:type="dxa" w:w="4150"/>
          </w:tcPr>
          <w:p>
            <w:pPr>
              <w:jc w:val="center"/>
            </w:pPr>
            <w:r/>
            <w:r>
              <w:rPr>
                <w:sz w:val="20"/>
              </w:rPr>
              <w:t>1030</w:t>
            </w:r>
          </w:p>
        </w:tc>
      </w:tr>
      <w:tr>
        <w:tc>
          <w:tcPr>
            <w:tcW w:type="dxa" w:w="4150"/>
          </w:tcPr>
          <w:p>
            <w:pPr>
              <w:jc w:val="center"/>
            </w:pPr>
            <w:r/>
            <w:r>
              <w:rPr>
                <w:sz w:val="20"/>
              </w:rPr>
              <w:t>特征数量</w:t>
            </w:r>
          </w:p>
        </w:tc>
        <w:tc>
          <w:tcPr>
            <w:tcW w:type="dxa" w:w="4150"/>
          </w:tcPr>
          <w:p>
            <w:pPr>
              <w:jc w:val="center"/>
            </w:pPr>
            <w:r/>
            <w:r>
              <w:rPr>
                <w:sz w:val="20"/>
              </w:rPr>
              <w:t>8</w:t>
            </w:r>
          </w:p>
        </w:tc>
      </w:tr>
      <w:tr>
        <w:tc>
          <w:tcPr>
            <w:tcW w:type="dxa" w:w="4150"/>
          </w:tcPr>
          <w:p>
            <w:pPr>
              <w:jc w:val="center"/>
            </w:pPr>
            <w:r/>
            <w:r>
              <w:rPr>
                <w:sz w:val="20"/>
              </w:rPr>
              <w:t>目标变量</w:t>
            </w:r>
          </w:p>
        </w:tc>
        <w:tc>
          <w:tcPr>
            <w:tcW w:type="dxa" w:w="4150"/>
          </w:tcPr>
          <w:p>
            <w:pPr>
              <w:jc w:val="center"/>
            </w:pPr>
            <w:r/>
            <w:r>
              <w:rPr>
                <w:sz w:val="20"/>
              </w:rPr>
              <w:t>抗压强度(MPa)</w:t>
            </w:r>
          </w:p>
        </w:tc>
      </w:tr>
      <w:tr>
        <w:tc>
          <w:tcPr>
            <w:tcW w:type="dxa" w:w="4150"/>
          </w:tcPr>
          <w:p>
            <w:pPr>
              <w:jc w:val="center"/>
            </w:pPr>
            <w:r/>
            <w:r>
              <w:rPr>
                <w:sz w:val="20"/>
              </w:rPr>
              <w:t>缺失值数量</w:t>
            </w:r>
          </w:p>
        </w:tc>
        <w:tc>
          <w:tcPr>
            <w:tcW w:type="dxa" w:w="4150"/>
          </w:tcPr>
          <w:p>
            <w:pPr>
              <w:jc w:val="center"/>
            </w:pPr>
            <w:r/>
            <w:r>
              <w:rPr>
                <w:sz w:val="20"/>
              </w:rPr>
              <w:t>0</w:t>
            </w:r>
          </w:p>
        </w:tc>
      </w:tr>
      <w:tr>
        <w:tc>
          <w:tcPr>
            <w:tcW w:type="dxa" w:w="4150"/>
          </w:tcPr>
          <w:p>
            <w:pPr>
              <w:jc w:val="center"/>
            </w:pPr>
            <w:r/>
            <w:r>
              <w:rPr>
                <w:sz w:val="20"/>
              </w:rPr>
              <w:t>数值型变量</w:t>
            </w:r>
          </w:p>
        </w:tc>
        <w:tc>
          <w:tcPr>
            <w:tcW w:type="dxa" w:w="4150"/>
          </w:tcPr>
          <w:p>
            <w:pPr>
              <w:jc w:val="center"/>
            </w:pPr>
            <w:r/>
            <w:r>
              <w:rPr>
                <w:sz w:val="20"/>
              </w:rPr>
              <w:t>9</w:t>
            </w:r>
          </w:p>
        </w:tc>
      </w:tr>
      <w:tr>
        <w:tc>
          <w:tcPr>
            <w:tcW w:type="dxa" w:w="4150"/>
          </w:tcPr>
          <w:p>
            <w:pPr>
              <w:jc w:val="center"/>
            </w:pPr>
            <w:r/>
            <w:r>
              <w:rPr>
                <w:sz w:val="20"/>
              </w:rPr>
              <w:t>分类变量</w:t>
            </w:r>
          </w:p>
        </w:tc>
        <w:tc>
          <w:tcPr>
            <w:tcW w:type="dxa" w:w="4150"/>
          </w:tcPr>
          <w:p>
            <w:pPr>
              <w:jc w:val="center"/>
            </w:pPr>
            <w:r/>
            <w:r>
              <w:rPr>
                <w:sz w:val="20"/>
              </w:rPr>
              <w:t>0</w:t>
            </w:r>
          </w:p>
        </w:tc>
      </w:tr>
    </w:tbl>
    <w:p/>
    <w:p>
      <w:pPr>
        <w:pStyle w:val="Heading2"/>
      </w:pPr>
      <w:r>
        <w:rPr>
          <w:rFonts w:ascii="黑体" w:hAnsi="黑体" w:eastAsia="黑体"/>
          <w:sz w:val="28"/>
        </w:rPr>
        <w:t>3.2 描述性统计分析</w:t>
      </w:r>
    </w:p>
    <w:p>
      <w:pPr>
        <w:ind w:firstLine="420"/>
      </w:pPr>
      <w:r>
        <w:rPr>
          <w:rFonts w:ascii="宋体" w:hAnsi="宋体" w:eastAsia="宋体"/>
          <w:b w:val="0"/>
          <w:sz w:val="24"/>
        </w:rPr>
        <w:t>对9个变量进行描述性统计，结果如表3.2所示。抗压强度分布范围2.33~82.60 MPa，均值35.818 MPa，标准差16.706，变异系数46.6%，数据覆盖了从低强度到高强混凝土的较大范围。</w:t>
      </w:r>
    </w:p>
    <w:p>
      <w:pPr>
        <w:jc w:val="center"/>
      </w:pPr>
      <w:r>
        <w:rPr>
          <w:rFonts w:ascii="黑体" w:hAnsi="黑体" w:eastAsia="黑体"/>
          <w:b/>
          <w:sz w:val="21"/>
        </w:rPr>
        <w:t>表3.2 变量描述性统计</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tcPr>
          <w:p>
            <w:pPr>
              <w:jc w:val="center"/>
            </w:pPr>
            <w:r/>
            <w:r>
              <w:rPr>
                <w:b/>
                <w:sz w:val="20"/>
              </w:rPr>
              <w:t>变量</w:t>
            </w:r>
          </w:p>
        </w:tc>
        <w:tc>
          <w:tcPr>
            <w:tcW w:type="dxa" w:w="1037"/>
          </w:tcPr>
          <w:p>
            <w:pPr>
              <w:jc w:val="center"/>
            </w:pPr>
            <w:r/>
            <w:r>
              <w:rPr>
                <w:b/>
                <w:sz w:val="20"/>
              </w:rPr>
              <w:t>均值</w:t>
            </w:r>
          </w:p>
        </w:tc>
        <w:tc>
          <w:tcPr>
            <w:tcW w:type="dxa" w:w="1037"/>
          </w:tcPr>
          <w:p>
            <w:pPr>
              <w:jc w:val="center"/>
            </w:pPr>
            <w:r/>
            <w:r>
              <w:rPr>
                <w:b/>
                <w:sz w:val="20"/>
              </w:rPr>
              <w:t>标准差</w:t>
            </w:r>
          </w:p>
        </w:tc>
        <w:tc>
          <w:tcPr>
            <w:tcW w:type="dxa" w:w="1037"/>
          </w:tcPr>
          <w:p>
            <w:pPr>
              <w:jc w:val="center"/>
            </w:pPr>
            <w:r/>
            <w:r>
              <w:rPr>
                <w:b/>
                <w:sz w:val="20"/>
              </w:rPr>
              <w:t>最小值</w:t>
            </w:r>
          </w:p>
        </w:tc>
        <w:tc>
          <w:tcPr>
            <w:tcW w:type="dxa" w:w="1037"/>
          </w:tcPr>
          <w:p>
            <w:pPr>
              <w:jc w:val="center"/>
            </w:pPr>
            <w:r/>
            <w:r>
              <w:rPr>
                <w:b/>
                <w:sz w:val="20"/>
              </w:rPr>
              <w:t>25%</w:t>
            </w:r>
          </w:p>
        </w:tc>
        <w:tc>
          <w:tcPr>
            <w:tcW w:type="dxa" w:w="1037"/>
          </w:tcPr>
          <w:p>
            <w:pPr>
              <w:jc w:val="center"/>
            </w:pPr>
            <w:r/>
            <w:r>
              <w:rPr>
                <w:b/>
                <w:sz w:val="20"/>
              </w:rPr>
              <w:t>中位数</w:t>
            </w:r>
          </w:p>
        </w:tc>
        <w:tc>
          <w:tcPr>
            <w:tcW w:type="dxa" w:w="1037"/>
          </w:tcPr>
          <w:p>
            <w:pPr>
              <w:jc w:val="center"/>
            </w:pPr>
            <w:r/>
            <w:r>
              <w:rPr>
                <w:b/>
                <w:sz w:val="20"/>
              </w:rPr>
              <w:t>75%</w:t>
            </w:r>
          </w:p>
        </w:tc>
        <w:tc>
          <w:tcPr>
            <w:tcW w:type="dxa" w:w="1037"/>
          </w:tcPr>
          <w:p>
            <w:pPr>
              <w:jc w:val="center"/>
            </w:pPr>
            <w:r/>
            <w:r>
              <w:rPr>
                <w:b/>
                <w:sz w:val="20"/>
              </w:rPr>
              <w:t>最大值</w:t>
            </w:r>
          </w:p>
        </w:tc>
      </w:tr>
      <w:tr>
        <w:tc>
          <w:tcPr>
            <w:tcW w:type="dxa" w:w="1037"/>
          </w:tcPr>
          <w:p>
            <w:pPr>
              <w:jc w:val="center"/>
            </w:pPr>
            <w:r/>
            <w:r>
              <w:rPr>
                <w:sz w:val="20"/>
              </w:rPr>
              <w:t>cement</w:t>
            </w:r>
          </w:p>
        </w:tc>
        <w:tc>
          <w:tcPr>
            <w:tcW w:type="dxa" w:w="1037"/>
          </w:tcPr>
          <w:p>
            <w:pPr>
              <w:jc w:val="center"/>
            </w:pPr>
            <w:r/>
            <w:r>
              <w:rPr>
                <w:sz w:val="20"/>
              </w:rPr>
              <w:t>281.168</w:t>
            </w:r>
          </w:p>
        </w:tc>
        <w:tc>
          <w:tcPr>
            <w:tcW w:type="dxa" w:w="1037"/>
          </w:tcPr>
          <w:p>
            <w:pPr>
              <w:jc w:val="center"/>
            </w:pPr>
            <w:r/>
            <w:r>
              <w:rPr>
                <w:sz w:val="20"/>
              </w:rPr>
              <w:t>104.506</w:t>
            </w:r>
          </w:p>
        </w:tc>
        <w:tc>
          <w:tcPr>
            <w:tcW w:type="dxa" w:w="1037"/>
          </w:tcPr>
          <w:p>
            <w:pPr>
              <w:jc w:val="center"/>
            </w:pPr>
            <w:r/>
            <w:r>
              <w:rPr>
                <w:sz w:val="20"/>
              </w:rPr>
              <w:t>102.0</w:t>
            </w:r>
          </w:p>
        </w:tc>
        <w:tc>
          <w:tcPr>
            <w:tcW w:type="dxa" w:w="1037"/>
          </w:tcPr>
          <w:p>
            <w:pPr>
              <w:jc w:val="center"/>
            </w:pPr>
            <w:r/>
            <w:r>
              <w:rPr>
                <w:sz w:val="20"/>
              </w:rPr>
              <w:t>192.375</w:t>
            </w:r>
          </w:p>
        </w:tc>
        <w:tc>
          <w:tcPr>
            <w:tcW w:type="dxa" w:w="1037"/>
          </w:tcPr>
          <w:p>
            <w:pPr>
              <w:jc w:val="center"/>
            </w:pPr>
            <w:r/>
            <w:r>
              <w:rPr>
                <w:sz w:val="20"/>
              </w:rPr>
              <w:t>272.9</w:t>
            </w:r>
          </w:p>
        </w:tc>
        <w:tc>
          <w:tcPr>
            <w:tcW w:type="dxa" w:w="1037"/>
          </w:tcPr>
          <w:p>
            <w:pPr>
              <w:jc w:val="center"/>
            </w:pPr>
            <w:r/>
            <w:r>
              <w:rPr>
                <w:sz w:val="20"/>
              </w:rPr>
              <w:t>350.0</w:t>
            </w:r>
          </w:p>
        </w:tc>
        <w:tc>
          <w:tcPr>
            <w:tcW w:type="dxa" w:w="1037"/>
          </w:tcPr>
          <w:p>
            <w:pPr>
              <w:jc w:val="center"/>
            </w:pPr>
            <w:r/>
            <w:r>
              <w:rPr>
                <w:sz w:val="20"/>
              </w:rPr>
              <w:t>540.0</w:t>
            </w:r>
          </w:p>
        </w:tc>
      </w:tr>
      <w:tr>
        <w:tc>
          <w:tcPr>
            <w:tcW w:type="dxa" w:w="1037"/>
          </w:tcPr>
          <w:p>
            <w:pPr>
              <w:jc w:val="center"/>
            </w:pPr>
            <w:r/>
            <w:r>
              <w:rPr>
                <w:sz w:val="20"/>
              </w:rPr>
              <w:t>slag</w:t>
            </w:r>
          </w:p>
        </w:tc>
        <w:tc>
          <w:tcPr>
            <w:tcW w:type="dxa" w:w="1037"/>
          </w:tcPr>
          <w:p>
            <w:pPr>
              <w:jc w:val="center"/>
            </w:pPr>
            <w:r/>
            <w:r>
              <w:rPr>
                <w:sz w:val="20"/>
              </w:rPr>
              <w:t>73.896</w:t>
            </w:r>
          </w:p>
        </w:tc>
        <w:tc>
          <w:tcPr>
            <w:tcW w:type="dxa" w:w="1037"/>
          </w:tcPr>
          <w:p>
            <w:pPr>
              <w:jc w:val="center"/>
            </w:pPr>
            <w:r/>
            <w:r>
              <w:rPr>
                <w:sz w:val="20"/>
              </w:rPr>
              <w:t>86.279</w:t>
            </w:r>
          </w:p>
        </w:tc>
        <w:tc>
          <w:tcPr>
            <w:tcW w:type="dxa" w:w="1037"/>
          </w:tcPr>
          <w:p>
            <w:pPr>
              <w:jc w:val="center"/>
            </w:pPr>
            <w:r/>
            <w:r>
              <w:rPr>
                <w:sz w:val="20"/>
              </w:rPr>
              <w:t>0.0</w:t>
            </w:r>
          </w:p>
        </w:tc>
        <w:tc>
          <w:tcPr>
            <w:tcW w:type="dxa" w:w="1037"/>
          </w:tcPr>
          <w:p>
            <w:pPr>
              <w:jc w:val="center"/>
            </w:pPr>
            <w:r/>
            <w:r>
              <w:rPr>
                <w:sz w:val="20"/>
              </w:rPr>
              <w:t>0.0</w:t>
            </w:r>
          </w:p>
        </w:tc>
        <w:tc>
          <w:tcPr>
            <w:tcW w:type="dxa" w:w="1037"/>
          </w:tcPr>
          <w:p>
            <w:pPr>
              <w:jc w:val="center"/>
            </w:pPr>
            <w:r/>
            <w:r>
              <w:rPr>
                <w:sz w:val="20"/>
              </w:rPr>
              <w:t>22.0</w:t>
            </w:r>
          </w:p>
        </w:tc>
        <w:tc>
          <w:tcPr>
            <w:tcW w:type="dxa" w:w="1037"/>
          </w:tcPr>
          <w:p>
            <w:pPr>
              <w:jc w:val="center"/>
            </w:pPr>
            <w:r/>
            <w:r>
              <w:rPr>
                <w:sz w:val="20"/>
              </w:rPr>
              <w:t>142.95</w:t>
            </w:r>
          </w:p>
        </w:tc>
        <w:tc>
          <w:tcPr>
            <w:tcW w:type="dxa" w:w="1037"/>
          </w:tcPr>
          <w:p>
            <w:pPr>
              <w:jc w:val="center"/>
            </w:pPr>
            <w:r/>
            <w:r>
              <w:rPr>
                <w:sz w:val="20"/>
              </w:rPr>
              <w:t>359.4</w:t>
            </w:r>
          </w:p>
        </w:tc>
      </w:tr>
      <w:tr>
        <w:tc>
          <w:tcPr>
            <w:tcW w:type="dxa" w:w="1037"/>
          </w:tcPr>
          <w:p>
            <w:pPr>
              <w:jc w:val="center"/>
            </w:pPr>
            <w:r/>
            <w:r>
              <w:rPr>
                <w:sz w:val="20"/>
              </w:rPr>
              <w:t>ash</w:t>
            </w:r>
          </w:p>
        </w:tc>
        <w:tc>
          <w:tcPr>
            <w:tcW w:type="dxa" w:w="1037"/>
          </w:tcPr>
          <w:p>
            <w:pPr>
              <w:jc w:val="center"/>
            </w:pPr>
            <w:r/>
            <w:r>
              <w:rPr>
                <w:sz w:val="20"/>
              </w:rPr>
              <w:t>54.188</w:t>
            </w:r>
          </w:p>
        </w:tc>
        <w:tc>
          <w:tcPr>
            <w:tcW w:type="dxa" w:w="1037"/>
          </w:tcPr>
          <w:p>
            <w:pPr>
              <w:jc w:val="center"/>
            </w:pPr>
            <w:r/>
            <w:r>
              <w:rPr>
                <w:sz w:val="20"/>
              </w:rPr>
              <w:t>63.997</w:t>
            </w:r>
          </w:p>
        </w:tc>
        <w:tc>
          <w:tcPr>
            <w:tcW w:type="dxa" w:w="1037"/>
          </w:tcPr>
          <w:p>
            <w:pPr>
              <w:jc w:val="center"/>
            </w:pPr>
            <w:r/>
            <w:r>
              <w:rPr>
                <w:sz w:val="20"/>
              </w:rPr>
              <w:t>0.0</w:t>
            </w:r>
          </w:p>
        </w:tc>
        <w:tc>
          <w:tcPr>
            <w:tcW w:type="dxa" w:w="1037"/>
          </w:tcPr>
          <w:p>
            <w:pPr>
              <w:jc w:val="center"/>
            </w:pPr>
            <w:r/>
            <w:r>
              <w:rPr>
                <w:sz w:val="20"/>
              </w:rPr>
              <w:t>0.0</w:t>
            </w:r>
          </w:p>
        </w:tc>
        <w:tc>
          <w:tcPr>
            <w:tcW w:type="dxa" w:w="1037"/>
          </w:tcPr>
          <w:p>
            <w:pPr>
              <w:jc w:val="center"/>
            </w:pPr>
            <w:r/>
            <w:r>
              <w:rPr>
                <w:sz w:val="20"/>
              </w:rPr>
              <w:t>0.0</w:t>
            </w:r>
          </w:p>
        </w:tc>
        <w:tc>
          <w:tcPr>
            <w:tcW w:type="dxa" w:w="1037"/>
          </w:tcPr>
          <w:p>
            <w:pPr>
              <w:jc w:val="center"/>
            </w:pPr>
            <w:r/>
            <w:r>
              <w:rPr>
                <w:sz w:val="20"/>
              </w:rPr>
              <w:t>118.3</w:t>
            </w:r>
          </w:p>
        </w:tc>
        <w:tc>
          <w:tcPr>
            <w:tcW w:type="dxa" w:w="1037"/>
          </w:tcPr>
          <w:p>
            <w:pPr>
              <w:jc w:val="center"/>
            </w:pPr>
            <w:r/>
            <w:r>
              <w:rPr>
                <w:sz w:val="20"/>
              </w:rPr>
              <w:t>200.1</w:t>
            </w:r>
          </w:p>
        </w:tc>
      </w:tr>
      <w:tr>
        <w:tc>
          <w:tcPr>
            <w:tcW w:type="dxa" w:w="1037"/>
          </w:tcPr>
          <w:p>
            <w:pPr>
              <w:jc w:val="center"/>
            </w:pPr>
            <w:r/>
            <w:r>
              <w:rPr>
                <w:sz w:val="20"/>
              </w:rPr>
              <w:t>water</w:t>
            </w:r>
          </w:p>
        </w:tc>
        <w:tc>
          <w:tcPr>
            <w:tcW w:type="dxa" w:w="1037"/>
          </w:tcPr>
          <w:p>
            <w:pPr>
              <w:jc w:val="center"/>
            </w:pPr>
            <w:r/>
            <w:r>
              <w:rPr>
                <w:sz w:val="20"/>
              </w:rPr>
              <w:t>181.567</w:t>
            </w:r>
          </w:p>
        </w:tc>
        <w:tc>
          <w:tcPr>
            <w:tcW w:type="dxa" w:w="1037"/>
          </w:tcPr>
          <w:p>
            <w:pPr>
              <w:jc w:val="center"/>
            </w:pPr>
            <w:r/>
            <w:r>
              <w:rPr>
                <w:sz w:val="20"/>
              </w:rPr>
              <w:t>21.354</w:t>
            </w:r>
          </w:p>
        </w:tc>
        <w:tc>
          <w:tcPr>
            <w:tcW w:type="dxa" w:w="1037"/>
          </w:tcPr>
          <w:p>
            <w:pPr>
              <w:jc w:val="center"/>
            </w:pPr>
            <w:r/>
            <w:r>
              <w:rPr>
                <w:sz w:val="20"/>
              </w:rPr>
              <w:t>121.8</w:t>
            </w:r>
          </w:p>
        </w:tc>
        <w:tc>
          <w:tcPr>
            <w:tcW w:type="dxa" w:w="1037"/>
          </w:tcPr>
          <w:p>
            <w:pPr>
              <w:jc w:val="center"/>
            </w:pPr>
            <w:r/>
            <w:r>
              <w:rPr>
                <w:sz w:val="20"/>
              </w:rPr>
              <w:t>164.9</w:t>
            </w:r>
          </w:p>
        </w:tc>
        <w:tc>
          <w:tcPr>
            <w:tcW w:type="dxa" w:w="1037"/>
          </w:tcPr>
          <w:p>
            <w:pPr>
              <w:jc w:val="center"/>
            </w:pPr>
            <w:r/>
            <w:r>
              <w:rPr>
                <w:sz w:val="20"/>
              </w:rPr>
              <w:t>185.0</w:t>
            </w:r>
          </w:p>
        </w:tc>
        <w:tc>
          <w:tcPr>
            <w:tcW w:type="dxa" w:w="1037"/>
          </w:tcPr>
          <w:p>
            <w:pPr>
              <w:jc w:val="center"/>
            </w:pPr>
            <w:r/>
            <w:r>
              <w:rPr>
                <w:sz w:val="20"/>
              </w:rPr>
              <w:t>192.0</w:t>
            </w:r>
          </w:p>
        </w:tc>
        <w:tc>
          <w:tcPr>
            <w:tcW w:type="dxa" w:w="1037"/>
          </w:tcPr>
          <w:p>
            <w:pPr>
              <w:jc w:val="center"/>
            </w:pPr>
            <w:r/>
            <w:r>
              <w:rPr>
                <w:sz w:val="20"/>
              </w:rPr>
              <w:t>247.0</w:t>
            </w:r>
          </w:p>
        </w:tc>
      </w:tr>
      <w:tr>
        <w:tc>
          <w:tcPr>
            <w:tcW w:type="dxa" w:w="1037"/>
          </w:tcPr>
          <w:p>
            <w:pPr>
              <w:jc w:val="center"/>
            </w:pPr>
            <w:r/>
            <w:r>
              <w:rPr>
                <w:sz w:val="20"/>
              </w:rPr>
              <w:t>superplastic</w:t>
            </w:r>
          </w:p>
        </w:tc>
        <w:tc>
          <w:tcPr>
            <w:tcW w:type="dxa" w:w="1037"/>
          </w:tcPr>
          <w:p>
            <w:pPr>
              <w:jc w:val="center"/>
            </w:pPr>
            <w:r/>
            <w:r>
              <w:rPr>
                <w:sz w:val="20"/>
              </w:rPr>
              <w:t>6.205</w:t>
            </w:r>
          </w:p>
        </w:tc>
        <w:tc>
          <w:tcPr>
            <w:tcW w:type="dxa" w:w="1037"/>
          </w:tcPr>
          <w:p>
            <w:pPr>
              <w:jc w:val="center"/>
            </w:pPr>
            <w:r/>
            <w:r>
              <w:rPr>
                <w:sz w:val="20"/>
              </w:rPr>
              <w:t>5.974</w:t>
            </w:r>
          </w:p>
        </w:tc>
        <w:tc>
          <w:tcPr>
            <w:tcW w:type="dxa" w:w="1037"/>
          </w:tcPr>
          <w:p>
            <w:pPr>
              <w:jc w:val="center"/>
            </w:pPr>
            <w:r/>
            <w:r>
              <w:rPr>
                <w:sz w:val="20"/>
              </w:rPr>
              <w:t>0.0</w:t>
            </w:r>
          </w:p>
        </w:tc>
        <w:tc>
          <w:tcPr>
            <w:tcW w:type="dxa" w:w="1037"/>
          </w:tcPr>
          <w:p>
            <w:pPr>
              <w:jc w:val="center"/>
            </w:pPr>
            <w:r/>
            <w:r>
              <w:rPr>
                <w:sz w:val="20"/>
              </w:rPr>
              <w:t>0.0</w:t>
            </w:r>
          </w:p>
        </w:tc>
        <w:tc>
          <w:tcPr>
            <w:tcW w:type="dxa" w:w="1037"/>
          </w:tcPr>
          <w:p>
            <w:pPr>
              <w:jc w:val="center"/>
            </w:pPr>
            <w:r/>
            <w:r>
              <w:rPr>
                <w:sz w:val="20"/>
              </w:rPr>
              <w:t>6.4</w:t>
            </w:r>
          </w:p>
        </w:tc>
        <w:tc>
          <w:tcPr>
            <w:tcW w:type="dxa" w:w="1037"/>
          </w:tcPr>
          <w:p>
            <w:pPr>
              <w:jc w:val="center"/>
            </w:pPr>
            <w:r/>
            <w:r>
              <w:rPr>
                <w:sz w:val="20"/>
              </w:rPr>
              <w:t>10.2</w:t>
            </w:r>
          </w:p>
        </w:tc>
        <w:tc>
          <w:tcPr>
            <w:tcW w:type="dxa" w:w="1037"/>
          </w:tcPr>
          <w:p>
            <w:pPr>
              <w:jc w:val="center"/>
            </w:pPr>
            <w:r/>
            <w:r>
              <w:rPr>
                <w:sz w:val="20"/>
              </w:rPr>
              <w:t>32.2</w:t>
            </w:r>
          </w:p>
        </w:tc>
      </w:tr>
      <w:tr>
        <w:tc>
          <w:tcPr>
            <w:tcW w:type="dxa" w:w="1037"/>
          </w:tcPr>
          <w:p>
            <w:pPr>
              <w:jc w:val="center"/>
            </w:pPr>
            <w:r/>
            <w:r>
              <w:rPr>
                <w:sz w:val="20"/>
              </w:rPr>
              <w:t>coarseagg</w:t>
            </w:r>
          </w:p>
        </w:tc>
        <w:tc>
          <w:tcPr>
            <w:tcW w:type="dxa" w:w="1037"/>
          </w:tcPr>
          <w:p>
            <w:pPr>
              <w:jc w:val="center"/>
            </w:pPr>
            <w:r/>
            <w:r>
              <w:rPr>
                <w:sz w:val="20"/>
              </w:rPr>
              <w:t>972.919</w:t>
            </w:r>
          </w:p>
        </w:tc>
        <w:tc>
          <w:tcPr>
            <w:tcW w:type="dxa" w:w="1037"/>
          </w:tcPr>
          <w:p>
            <w:pPr>
              <w:jc w:val="center"/>
            </w:pPr>
            <w:r/>
            <w:r>
              <w:rPr>
                <w:sz w:val="20"/>
              </w:rPr>
              <w:t>77.754</w:t>
            </w:r>
          </w:p>
        </w:tc>
        <w:tc>
          <w:tcPr>
            <w:tcW w:type="dxa" w:w="1037"/>
          </w:tcPr>
          <w:p>
            <w:pPr>
              <w:jc w:val="center"/>
            </w:pPr>
            <w:r/>
            <w:r>
              <w:rPr>
                <w:sz w:val="20"/>
              </w:rPr>
              <w:t>801.0</w:t>
            </w:r>
          </w:p>
        </w:tc>
        <w:tc>
          <w:tcPr>
            <w:tcW w:type="dxa" w:w="1037"/>
          </w:tcPr>
          <w:p>
            <w:pPr>
              <w:jc w:val="center"/>
            </w:pPr>
            <w:r/>
            <w:r>
              <w:rPr>
                <w:sz w:val="20"/>
              </w:rPr>
              <w:t>932.0</w:t>
            </w:r>
          </w:p>
        </w:tc>
        <w:tc>
          <w:tcPr>
            <w:tcW w:type="dxa" w:w="1037"/>
          </w:tcPr>
          <w:p>
            <w:pPr>
              <w:jc w:val="center"/>
            </w:pPr>
            <w:r/>
            <w:r>
              <w:rPr>
                <w:sz w:val="20"/>
              </w:rPr>
              <w:t>968.0</w:t>
            </w:r>
          </w:p>
        </w:tc>
        <w:tc>
          <w:tcPr>
            <w:tcW w:type="dxa" w:w="1037"/>
          </w:tcPr>
          <w:p>
            <w:pPr>
              <w:jc w:val="center"/>
            </w:pPr>
            <w:r/>
            <w:r>
              <w:rPr>
                <w:sz w:val="20"/>
              </w:rPr>
              <w:t>1029.4</w:t>
            </w:r>
          </w:p>
        </w:tc>
        <w:tc>
          <w:tcPr>
            <w:tcW w:type="dxa" w:w="1037"/>
          </w:tcPr>
          <w:p>
            <w:pPr>
              <w:jc w:val="center"/>
            </w:pPr>
            <w:r/>
            <w:r>
              <w:rPr>
                <w:sz w:val="20"/>
              </w:rPr>
              <w:t>1145.0</w:t>
            </w:r>
          </w:p>
        </w:tc>
      </w:tr>
      <w:tr>
        <w:tc>
          <w:tcPr>
            <w:tcW w:type="dxa" w:w="1037"/>
          </w:tcPr>
          <w:p>
            <w:pPr>
              <w:jc w:val="center"/>
            </w:pPr>
            <w:r/>
            <w:r>
              <w:rPr>
                <w:sz w:val="20"/>
              </w:rPr>
              <w:t>fineagg</w:t>
            </w:r>
          </w:p>
        </w:tc>
        <w:tc>
          <w:tcPr>
            <w:tcW w:type="dxa" w:w="1037"/>
          </w:tcPr>
          <w:p>
            <w:pPr>
              <w:jc w:val="center"/>
            </w:pPr>
            <w:r/>
            <w:r>
              <w:rPr>
                <w:sz w:val="20"/>
              </w:rPr>
              <w:t>773.580</w:t>
            </w:r>
          </w:p>
        </w:tc>
        <w:tc>
          <w:tcPr>
            <w:tcW w:type="dxa" w:w="1037"/>
          </w:tcPr>
          <w:p>
            <w:pPr>
              <w:jc w:val="center"/>
            </w:pPr>
            <w:r/>
            <w:r>
              <w:rPr>
                <w:sz w:val="20"/>
              </w:rPr>
              <w:t>80.176</w:t>
            </w:r>
          </w:p>
        </w:tc>
        <w:tc>
          <w:tcPr>
            <w:tcW w:type="dxa" w:w="1037"/>
          </w:tcPr>
          <w:p>
            <w:pPr>
              <w:jc w:val="center"/>
            </w:pPr>
            <w:r/>
            <w:r>
              <w:rPr>
                <w:sz w:val="20"/>
              </w:rPr>
              <w:t>594.0</w:t>
            </w:r>
          </w:p>
        </w:tc>
        <w:tc>
          <w:tcPr>
            <w:tcW w:type="dxa" w:w="1037"/>
          </w:tcPr>
          <w:p>
            <w:pPr>
              <w:jc w:val="center"/>
            </w:pPr>
            <w:r/>
            <w:r>
              <w:rPr>
                <w:sz w:val="20"/>
              </w:rPr>
              <w:t>730.95</w:t>
            </w:r>
          </w:p>
        </w:tc>
        <w:tc>
          <w:tcPr>
            <w:tcW w:type="dxa" w:w="1037"/>
          </w:tcPr>
          <w:p>
            <w:pPr>
              <w:jc w:val="center"/>
            </w:pPr>
            <w:r/>
            <w:r>
              <w:rPr>
                <w:sz w:val="20"/>
              </w:rPr>
              <w:t>779.5</w:t>
            </w:r>
          </w:p>
        </w:tc>
        <w:tc>
          <w:tcPr>
            <w:tcW w:type="dxa" w:w="1037"/>
          </w:tcPr>
          <w:p>
            <w:pPr>
              <w:jc w:val="center"/>
            </w:pPr>
            <w:r/>
            <w:r>
              <w:rPr>
                <w:sz w:val="20"/>
              </w:rPr>
              <w:t>824.0</w:t>
            </w:r>
          </w:p>
        </w:tc>
        <w:tc>
          <w:tcPr>
            <w:tcW w:type="dxa" w:w="1037"/>
          </w:tcPr>
          <w:p>
            <w:pPr>
              <w:jc w:val="center"/>
            </w:pPr>
            <w:r/>
            <w:r>
              <w:rPr>
                <w:sz w:val="20"/>
              </w:rPr>
              <w:t>992.6</w:t>
            </w:r>
          </w:p>
        </w:tc>
      </w:tr>
      <w:tr>
        <w:tc>
          <w:tcPr>
            <w:tcW w:type="dxa" w:w="1037"/>
          </w:tcPr>
          <w:p>
            <w:pPr>
              <w:jc w:val="center"/>
            </w:pPr>
            <w:r/>
            <w:r>
              <w:rPr>
                <w:sz w:val="20"/>
              </w:rPr>
              <w:t>age</w:t>
            </w:r>
          </w:p>
        </w:tc>
        <w:tc>
          <w:tcPr>
            <w:tcW w:type="dxa" w:w="1037"/>
          </w:tcPr>
          <w:p>
            <w:pPr>
              <w:jc w:val="center"/>
            </w:pPr>
            <w:r/>
            <w:r>
              <w:rPr>
                <w:sz w:val="20"/>
              </w:rPr>
              <w:t>45.662</w:t>
            </w:r>
          </w:p>
        </w:tc>
        <w:tc>
          <w:tcPr>
            <w:tcW w:type="dxa" w:w="1037"/>
          </w:tcPr>
          <w:p>
            <w:pPr>
              <w:jc w:val="center"/>
            </w:pPr>
            <w:r/>
            <w:r>
              <w:rPr>
                <w:sz w:val="20"/>
              </w:rPr>
              <w:t>63.170</w:t>
            </w:r>
          </w:p>
        </w:tc>
        <w:tc>
          <w:tcPr>
            <w:tcW w:type="dxa" w:w="1037"/>
          </w:tcPr>
          <w:p>
            <w:pPr>
              <w:jc w:val="center"/>
            </w:pPr>
            <w:r/>
            <w:r>
              <w:rPr>
                <w:sz w:val="20"/>
              </w:rPr>
              <w:t>1.0</w:t>
            </w:r>
          </w:p>
        </w:tc>
        <w:tc>
          <w:tcPr>
            <w:tcW w:type="dxa" w:w="1037"/>
          </w:tcPr>
          <w:p>
            <w:pPr>
              <w:jc w:val="center"/>
            </w:pPr>
            <w:r/>
            <w:r>
              <w:rPr>
                <w:sz w:val="20"/>
              </w:rPr>
              <w:t>7.0</w:t>
            </w:r>
          </w:p>
        </w:tc>
        <w:tc>
          <w:tcPr>
            <w:tcW w:type="dxa" w:w="1037"/>
          </w:tcPr>
          <w:p>
            <w:pPr>
              <w:jc w:val="center"/>
            </w:pPr>
            <w:r/>
            <w:r>
              <w:rPr>
                <w:sz w:val="20"/>
              </w:rPr>
              <w:t>28.0</w:t>
            </w:r>
          </w:p>
        </w:tc>
        <w:tc>
          <w:tcPr>
            <w:tcW w:type="dxa" w:w="1037"/>
          </w:tcPr>
          <w:p>
            <w:pPr>
              <w:jc w:val="center"/>
            </w:pPr>
            <w:r/>
            <w:r>
              <w:rPr>
                <w:sz w:val="20"/>
              </w:rPr>
              <w:t>56.0</w:t>
            </w:r>
          </w:p>
        </w:tc>
        <w:tc>
          <w:tcPr>
            <w:tcW w:type="dxa" w:w="1037"/>
          </w:tcPr>
          <w:p>
            <w:pPr>
              <w:jc w:val="center"/>
            </w:pPr>
            <w:r/>
            <w:r>
              <w:rPr>
                <w:sz w:val="20"/>
              </w:rPr>
              <w:t>365.0</w:t>
            </w:r>
          </w:p>
        </w:tc>
      </w:tr>
      <w:tr>
        <w:tc>
          <w:tcPr>
            <w:tcW w:type="dxa" w:w="1037"/>
          </w:tcPr>
          <w:p>
            <w:pPr>
              <w:jc w:val="center"/>
            </w:pPr>
            <w:r/>
            <w:r>
              <w:rPr>
                <w:sz w:val="20"/>
              </w:rPr>
              <w:t>strength</w:t>
            </w:r>
          </w:p>
        </w:tc>
        <w:tc>
          <w:tcPr>
            <w:tcW w:type="dxa" w:w="1037"/>
          </w:tcPr>
          <w:p>
            <w:pPr>
              <w:jc w:val="center"/>
            </w:pPr>
            <w:r/>
            <w:r>
              <w:rPr>
                <w:sz w:val="20"/>
              </w:rPr>
              <w:t>35.818</w:t>
            </w:r>
          </w:p>
        </w:tc>
        <w:tc>
          <w:tcPr>
            <w:tcW w:type="dxa" w:w="1037"/>
          </w:tcPr>
          <w:p>
            <w:pPr>
              <w:jc w:val="center"/>
            </w:pPr>
            <w:r/>
            <w:r>
              <w:rPr>
                <w:sz w:val="20"/>
              </w:rPr>
              <w:t>16.706</w:t>
            </w:r>
          </w:p>
        </w:tc>
        <w:tc>
          <w:tcPr>
            <w:tcW w:type="dxa" w:w="1037"/>
          </w:tcPr>
          <w:p>
            <w:pPr>
              <w:jc w:val="center"/>
            </w:pPr>
            <w:r/>
            <w:r>
              <w:rPr>
                <w:sz w:val="20"/>
              </w:rPr>
              <w:t>2.330</w:t>
            </w:r>
          </w:p>
        </w:tc>
        <w:tc>
          <w:tcPr>
            <w:tcW w:type="dxa" w:w="1037"/>
          </w:tcPr>
          <w:p>
            <w:pPr>
              <w:jc w:val="center"/>
            </w:pPr>
            <w:r/>
            <w:r>
              <w:rPr>
                <w:sz w:val="20"/>
              </w:rPr>
              <w:t>23.710</w:t>
            </w:r>
          </w:p>
        </w:tc>
        <w:tc>
          <w:tcPr>
            <w:tcW w:type="dxa" w:w="1037"/>
          </w:tcPr>
          <w:p>
            <w:pPr>
              <w:jc w:val="center"/>
            </w:pPr>
            <w:r/>
            <w:r>
              <w:rPr>
                <w:sz w:val="20"/>
              </w:rPr>
              <w:t>34.445</w:t>
            </w:r>
          </w:p>
        </w:tc>
        <w:tc>
          <w:tcPr>
            <w:tcW w:type="dxa" w:w="1037"/>
          </w:tcPr>
          <w:p>
            <w:pPr>
              <w:jc w:val="center"/>
            </w:pPr>
            <w:r/>
            <w:r>
              <w:rPr>
                <w:sz w:val="20"/>
              </w:rPr>
              <w:t>46.135</w:t>
            </w:r>
          </w:p>
        </w:tc>
        <w:tc>
          <w:tcPr>
            <w:tcW w:type="dxa" w:w="1037"/>
          </w:tcPr>
          <w:p>
            <w:pPr>
              <w:jc w:val="center"/>
            </w:pPr>
            <w:r/>
            <w:r>
              <w:rPr>
                <w:sz w:val="20"/>
              </w:rPr>
              <w:t>82.600</w:t>
            </w:r>
          </w:p>
        </w:tc>
      </w:tr>
    </w:tbl>
    <w:p/>
    <w:p>
      <w:pPr>
        <w:pStyle w:val="Heading2"/>
      </w:pPr>
      <w:r>
        <w:rPr>
          <w:rFonts w:ascii="黑体" w:hAnsi="黑体" w:eastAsia="黑体"/>
          <w:sz w:val="28"/>
        </w:rPr>
        <w:t>3.3 相关性分析</w:t>
      </w:r>
    </w:p>
    <w:p>
      <w:pPr>
        <w:ind w:firstLine="420"/>
      </w:pPr>
      <w:r>
        <w:rPr>
          <w:rFonts w:ascii="宋体" w:hAnsi="宋体" w:eastAsia="宋体"/>
          <w:b w:val="0"/>
          <w:sz w:val="24"/>
        </w:rPr>
        <w:t>水泥用量与强度的线性正相关性最强(r=0.498)，其次为超塑化剂(r=0.374)和龄期(r=0.329)。水用量与强度呈负相关(r=-0.290)，符合水胶比越低强度越高的基本规律。配合比参数之间，水和超塑化剂的负相关系数最强(r=-0.658)，反映减水剂与用水量此消彼长的配合比设计规律。其余参数对间的相关系数绝对值均未超过0.5，排除严重的多重共线性问题。</w:t>
      </w:r>
    </w:p>
    <w:p>
      <w:pPr>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4191000"/>
                    </a:xfrm>
                    <a:prstGeom prst="rect"/>
                  </pic:spPr>
                </pic:pic>
              </a:graphicData>
            </a:graphic>
          </wp:inline>
        </w:drawing>
      </w:r>
    </w:p>
    <w:p>
      <w:pPr>
        <w:jc w:val="center"/>
      </w:pPr>
      <w:r>
        <w:rPr>
          <w:sz w:val="20"/>
        </w:rPr>
        <w:t>图3.1 变量相关性热力图</w:t>
      </w:r>
    </w:p>
    <w:p>
      <w:r>
        <w:br w:type="page"/>
      </w:r>
    </w:p>
    <w:p>
      <w:pPr>
        <w:pStyle w:val="Heading1"/>
      </w:pPr>
      <w:r>
        <w:rPr>
          <w:rFonts w:ascii="黑体" w:hAnsi="黑体" w:eastAsia="黑体"/>
          <w:sz w:val="32"/>
        </w:rPr>
        <w:t>四、模型的建立与求解</w:t>
      </w:r>
    </w:p>
    <w:p>
      <w:pPr>
        <w:pStyle w:val="Heading2"/>
      </w:pPr>
      <w:r>
        <w:rPr>
          <w:rFonts w:ascii="黑体" w:hAnsi="黑体" w:eastAsia="黑体"/>
          <w:sz w:val="28"/>
        </w:rPr>
        <w:t>4.1 线性回归基准模型</w:t>
      </w:r>
    </w:p>
    <w:p>
      <w:pPr>
        <w:ind w:firstLine="420"/>
      </w:pPr>
      <w:r>
        <w:rPr>
          <w:rFonts w:ascii="宋体" w:hAnsi="宋体" w:eastAsia="宋体"/>
          <w:b w:val="0"/>
          <w:sz w:val="24"/>
        </w:rPr>
        <w:t>以OLS回归、岭回归(α=1.0)和Lasso回归(α=0.01)作为基准线。使用标准化后的8个特征进行训练，以测试集R²、RMSE、MAE作为评价指标，5折交叉验证评估泛化性能。</w:t>
      </w:r>
    </w:p>
    <w:p>
      <w:pPr>
        <w:ind w:firstLine="420"/>
      </w:pPr>
      <w:r>
        <w:rPr>
          <w:rFonts w:ascii="宋体" w:hAnsi="宋体" w:eastAsia="宋体"/>
          <w:b w:val="0"/>
          <w:sz w:val="24"/>
        </w:rPr>
        <w:t>评价指标定义如下：</w:t>
      </w:r>
    </w:p>
    <w:p>
      <w:pPr>
        <w:jc w:val="center"/>
      </w:pPr>
      <w:r>
        <w:rPr>
          <w:rFonts w:ascii="Times New Roman" w:hAnsi="Times New Roman" w:eastAsia="Times New Roman"/>
          <w:b w:val="0"/>
          <w:sz w:val="24"/>
        </w:rPr>
        <w:t>R² = 1 - Σ(yi - ŷi)² / Σ(yi - ȳ)²</w:t>
      </w:r>
    </w:p>
    <w:p>
      <w:pPr>
        <w:jc w:val="center"/>
      </w:pPr>
      <w:r>
        <w:rPr>
          <w:rFonts w:ascii="Times New Roman" w:hAnsi="Times New Roman" w:eastAsia="Times New Roman"/>
          <w:b w:val="0"/>
          <w:sz w:val="24"/>
        </w:rPr>
        <w:t>RMSE = √(1/n · Σ(yi - ŷi)²)</w:t>
      </w:r>
    </w:p>
    <w:p>
      <w:pPr>
        <w:jc w:val="center"/>
      </w:pPr>
      <w:r>
        <w:rPr>
          <w:rFonts w:ascii="Times New Roman" w:hAnsi="Times New Roman" w:eastAsia="Times New Roman"/>
          <w:b w:val="0"/>
          <w:sz w:val="24"/>
        </w:rPr>
        <w:t>MAE = 1/n · Σ|yi - ŷi|</w:t>
      </w:r>
    </w:p>
    <w:p>
      <w:pPr>
        <w:pStyle w:val="Heading2"/>
      </w:pPr>
      <w:r>
        <w:rPr>
          <w:rFonts w:ascii="黑体" w:hAnsi="黑体" w:eastAsia="黑体"/>
          <w:sz w:val="28"/>
        </w:rPr>
        <w:t>4.2 集成学习非线性模型</w:t>
      </w:r>
    </w:p>
    <w:p>
      <w:pPr>
        <w:ind w:firstLine="420"/>
      </w:pPr>
      <w:r>
        <w:rPr>
          <w:rFonts w:ascii="宋体" w:hAnsi="宋体" w:eastAsia="宋体"/>
          <w:b w:val="0"/>
          <w:sz w:val="24"/>
        </w:rPr>
        <w:t>采用随机森林（n_estimators=100, max_depth=10）和梯度提升回归树（n_estimators=100, max_depth=5, learning_rate=0.1）两类集成学习算法。随机森林通过Bootstrap重采样和随机特征子空间降低方差，梯度提升通过串行拟合残差降低偏差[8,9]。</w:t>
      </w:r>
    </w:p>
    <w:p>
      <w:pPr>
        <w:pStyle w:val="Heading2"/>
      </w:pPr>
      <w:r>
        <w:rPr>
          <w:rFonts w:ascii="黑体" w:hAnsi="黑体" w:eastAsia="黑体"/>
          <w:sz w:val="28"/>
        </w:rPr>
        <w:t>4.3 全模型性能对比</w:t>
      </w:r>
    </w:p>
    <w:p>
      <w:pPr>
        <w:jc w:val="center"/>
      </w:pPr>
      <w:r>
        <w:rPr>
          <w:rFonts w:ascii="黑体" w:hAnsi="黑体" w:eastAsia="黑体"/>
          <w:b/>
          <w:sz w:val="21"/>
        </w:rPr>
        <w:t>表4.1 全模型测试集性能对比</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b/>
                <w:sz w:val="20"/>
              </w:rPr>
              <w:t>模型</w:t>
            </w:r>
          </w:p>
        </w:tc>
        <w:tc>
          <w:tcPr>
            <w:tcW w:type="dxa" w:w="1383"/>
          </w:tcPr>
          <w:p>
            <w:pPr>
              <w:jc w:val="center"/>
            </w:pPr>
            <w:r/>
            <w:r>
              <w:rPr>
                <w:b/>
                <w:sz w:val="20"/>
              </w:rPr>
              <w:t>R²</w:t>
            </w:r>
          </w:p>
        </w:tc>
        <w:tc>
          <w:tcPr>
            <w:tcW w:type="dxa" w:w="1383"/>
          </w:tcPr>
          <w:p>
            <w:pPr>
              <w:jc w:val="center"/>
            </w:pPr>
            <w:r/>
            <w:r>
              <w:rPr>
                <w:b/>
                <w:sz w:val="20"/>
              </w:rPr>
              <w:t>RMSE(MPa)</w:t>
            </w:r>
          </w:p>
        </w:tc>
        <w:tc>
          <w:tcPr>
            <w:tcW w:type="dxa" w:w="1383"/>
          </w:tcPr>
          <w:p>
            <w:pPr>
              <w:jc w:val="center"/>
            </w:pPr>
            <w:r/>
            <w:r>
              <w:rPr>
                <w:b/>
                <w:sz w:val="20"/>
              </w:rPr>
              <w:t>MAE(MPa)</w:t>
            </w:r>
          </w:p>
        </w:tc>
        <w:tc>
          <w:tcPr>
            <w:tcW w:type="dxa" w:w="1383"/>
          </w:tcPr>
          <w:p>
            <w:pPr>
              <w:jc w:val="center"/>
            </w:pPr>
            <w:r/>
            <w:r>
              <w:rPr>
                <w:b/>
                <w:sz w:val="20"/>
              </w:rPr>
              <w:t>CV_R²均值</w:t>
            </w:r>
          </w:p>
        </w:tc>
        <w:tc>
          <w:tcPr>
            <w:tcW w:type="dxa" w:w="1383"/>
          </w:tcPr>
          <w:p>
            <w:pPr>
              <w:jc w:val="center"/>
            </w:pPr>
            <w:r/>
            <w:r>
              <w:rPr>
                <w:b/>
                <w:sz w:val="20"/>
              </w:rPr>
              <w:t>CV_R²标准差</w:t>
            </w:r>
          </w:p>
        </w:tc>
      </w:tr>
      <w:tr>
        <w:tc>
          <w:tcPr>
            <w:tcW w:type="dxa" w:w="1383"/>
          </w:tcPr>
          <w:p>
            <w:pPr>
              <w:jc w:val="center"/>
            </w:pPr>
            <w:r/>
            <w:r>
              <w:rPr>
                <w:sz w:val="20"/>
              </w:rPr>
              <w:t>OLS回归</w:t>
            </w:r>
          </w:p>
        </w:tc>
        <w:tc>
          <w:tcPr>
            <w:tcW w:type="dxa" w:w="1383"/>
          </w:tcPr>
          <w:p>
            <w:pPr>
              <w:jc w:val="center"/>
            </w:pPr>
            <w:r/>
            <w:r>
              <w:rPr>
                <w:sz w:val="20"/>
              </w:rPr>
              <w:t>0.498</w:t>
            </w:r>
          </w:p>
        </w:tc>
        <w:tc>
          <w:tcPr>
            <w:tcW w:type="dxa" w:w="1383"/>
          </w:tcPr>
          <w:p>
            <w:pPr>
              <w:jc w:val="center"/>
            </w:pPr>
            <w:r/>
            <w:r>
              <w:rPr>
                <w:sz w:val="20"/>
              </w:rPr>
              <w:t>10.518</w:t>
            </w:r>
          </w:p>
        </w:tc>
        <w:tc>
          <w:tcPr>
            <w:tcW w:type="dxa" w:w="1383"/>
          </w:tcPr>
          <w:p>
            <w:pPr>
              <w:jc w:val="center"/>
            </w:pPr>
            <w:r/>
            <w:r>
              <w:rPr>
                <w:sz w:val="20"/>
              </w:rPr>
              <w:t>8.488</w:t>
            </w:r>
          </w:p>
        </w:tc>
        <w:tc>
          <w:tcPr>
            <w:tcW w:type="dxa" w:w="1383"/>
          </w:tcPr>
          <w:p>
            <w:pPr>
              <w:jc w:val="center"/>
            </w:pPr>
            <w:r/>
            <w:r>
              <w:rPr>
                <w:sz w:val="20"/>
              </w:rPr>
              <w:t>0.603</w:t>
            </w:r>
          </w:p>
        </w:tc>
        <w:tc>
          <w:tcPr>
            <w:tcW w:type="dxa" w:w="1383"/>
          </w:tcPr>
          <w:p>
            <w:pPr>
              <w:jc w:val="center"/>
            </w:pPr>
            <w:r/>
            <w:r>
              <w:rPr>
                <w:sz w:val="20"/>
              </w:rPr>
              <w:t>0.060</w:t>
            </w:r>
          </w:p>
        </w:tc>
      </w:tr>
      <w:tr>
        <w:tc>
          <w:tcPr>
            <w:tcW w:type="dxa" w:w="1383"/>
          </w:tcPr>
          <w:p>
            <w:pPr>
              <w:jc w:val="center"/>
            </w:pPr>
            <w:r/>
            <w:r>
              <w:rPr>
                <w:sz w:val="20"/>
              </w:rPr>
              <w:t>岭回归(Ridge)</w:t>
            </w:r>
          </w:p>
        </w:tc>
        <w:tc>
          <w:tcPr>
            <w:tcW w:type="dxa" w:w="1383"/>
          </w:tcPr>
          <w:p>
            <w:pPr>
              <w:jc w:val="center"/>
            </w:pPr>
            <w:r/>
            <w:r>
              <w:rPr>
                <w:sz w:val="20"/>
              </w:rPr>
              <w:t>0.498</w:t>
            </w:r>
          </w:p>
        </w:tc>
        <w:tc>
          <w:tcPr>
            <w:tcW w:type="dxa" w:w="1383"/>
          </w:tcPr>
          <w:p>
            <w:pPr>
              <w:jc w:val="center"/>
            </w:pPr>
            <w:r/>
            <w:r>
              <w:rPr>
                <w:sz w:val="20"/>
              </w:rPr>
              <w:t>10.520</w:t>
            </w:r>
          </w:p>
        </w:tc>
        <w:tc>
          <w:tcPr>
            <w:tcW w:type="dxa" w:w="1383"/>
          </w:tcPr>
          <w:p>
            <w:pPr>
              <w:jc w:val="center"/>
            </w:pPr>
            <w:r/>
            <w:r>
              <w:rPr>
                <w:sz w:val="20"/>
              </w:rPr>
              <w:t>8.494</w:t>
            </w:r>
          </w:p>
        </w:tc>
        <w:tc>
          <w:tcPr>
            <w:tcW w:type="dxa" w:w="1383"/>
          </w:tcPr>
          <w:p>
            <w:pPr>
              <w:jc w:val="center"/>
            </w:pPr>
            <w:r/>
            <w:r>
              <w:rPr>
                <w:sz w:val="20"/>
              </w:rPr>
              <w:t>0.603</w:t>
            </w:r>
          </w:p>
        </w:tc>
        <w:tc>
          <w:tcPr>
            <w:tcW w:type="dxa" w:w="1383"/>
          </w:tcPr>
          <w:p>
            <w:pPr>
              <w:jc w:val="center"/>
            </w:pPr>
            <w:r/>
            <w:r>
              <w:rPr>
                <w:sz w:val="20"/>
              </w:rPr>
              <w:t>0.059</w:t>
            </w:r>
          </w:p>
        </w:tc>
      </w:tr>
      <w:tr>
        <w:tc>
          <w:tcPr>
            <w:tcW w:type="dxa" w:w="1383"/>
          </w:tcPr>
          <w:p>
            <w:pPr>
              <w:jc w:val="center"/>
            </w:pPr>
            <w:r/>
            <w:r>
              <w:rPr>
                <w:sz w:val="20"/>
              </w:rPr>
              <w:t>Lasso回归</w:t>
            </w:r>
          </w:p>
        </w:tc>
        <w:tc>
          <w:tcPr>
            <w:tcW w:type="dxa" w:w="1383"/>
          </w:tcPr>
          <w:p>
            <w:pPr>
              <w:jc w:val="center"/>
            </w:pPr>
            <w:r/>
            <w:r>
              <w:rPr>
                <w:sz w:val="20"/>
              </w:rPr>
              <w:t>0.498</w:t>
            </w:r>
          </w:p>
        </w:tc>
        <w:tc>
          <w:tcPr>
            <w:tcW w:type="dxa" w:w="1383"/>
          </w:tcPr>
          <w:p>
            <w:pPr>
              <w:jc w:val="center"/>
            </w:pPr>
            <w:r/>
            <w:r>
              <w:rPr>
                <w:sz w:val="20"/>
              </w:rPr>
              <w:t>10.521</w:t>
            </w:r>
          </w:p>
        </w:tc>
        <w:tc>
          <w:tcPr>
            <w:tcW w:type="dxa" w:w="1383"/>
          </w:tcPr>
          <w:p>
            <w:pPr>
              <w:jc w:val="center"/>
            </w:pPr>
            <w:r/>
            <w:r>
              <w:rPr>
                <w:sz w:val="20"/>
              </w:rPr>
              <w:t>8.496</w:t>
            </w:r>
          </w:p>
        </w:tc>
        <w:tc>
          <w:tcPr>
            <w:tcW w:type="dxa" w:w="1383"/>
          </w:tcPr>
          <w:p>
            <w:pPr>
              <w:jc w:val="center"/>
            </w:pPr>
            <w:r/>
            <w:r>
              <w:rPr>
                <w:sz w:val="20"/>
              </w:rPr>
              <w:t>0.603</w:t>
            </w:r>
          </w:p>
        </w:tc>
        <w:tc>
          <w:tcPr>
            <w:tcW w:type="dxa" w:w="1383"/>
          </w:tcPr>
          <w:p>
            <w:pPr>
              <w:jc w:val="center"/>
            </w:pPr>
            <w:r/>
            <w:r>
              <w:rPr>
                <w:sz w:val="20"/>
              </w:rPr>
              <w:t>0.059</w:t>
            </w:r>
          </w:p>
        </w:tc>
      </w:tr>
      <w:tr>
        <w:tc>
          <w:tcPr>
            <w:tcW w:type="dxa" w:w="1383"/>
          </w:tcPr>
          <w:p>
            <w:pPr>
              <w:jc w:val="center"/>
            </w:pPr>
            <w:r/>
            <w:r>
              <w:rPr>
                <w:sz w:val="20"/>
              </w:rPr>
              <w:t>随机森林(RF)</w:t>
            </w:r>
          </w:p>
        </w:tc>
        <w:tc>
          <w:tcPr>
            <w:tcW w:type="dxa" w:w="1383"/>
          </w:tcPr>
          <w:p>
            <w:pPr>
              <w:jc w:val="center"/>
            </w:pPr>
            <w:r/>
            <w:r>
              <w:rPr>
                <w:sz w:val="20"/>
              </w:rPr>
              <w:t>0.874</w:t>
            </w:r>
          </w:p>
        </w:tc>
        <w:tc>
          <w:tcPr>
            <w:tcW w:type="dxa" w:w="1383"/>
          </w:tcPr>
          <w:p>
            <w:pPr>
              <w:jc w:val="center"/>
            </w:pPr>
            <w:r/>
            <w:r>
              <w:rPr>
                <w:sz w:val="20"/>
              </w:rPr>
              <w:t>5.260</w:t>
            </w:r>
          </w:p>
        </w:tc>
        <w:tc>
          <w:tcPr>
            <w:tcW w:type="dxa" w:w="1383"/>
          </w:tcPr>
          <w:p>
            <w:pPr>
              <w:jc w:val="center"/>
            </w:pPr>
            <w:r/>
            <w:r>
              <w:rPr>
                <w:sz w:val="20"/>
              </w:rPr>
              <w:t>3.888</w:t>
            </w:r>
          </w:p>
        </w:tc>
        <w:tc>
          <w:tcPr>
            <w:tcW w:type="dxa" w:w="1383"/>
          </w:tcPr>
          <w:p>
            <w:pPr>
              <w:jc w:val="center"/>
            </w:pPr>
            <w:r/>
            <w:r>
              <w:rPr>
                <w:sz w:val="20"/>
              </w:rPr>
              <w:t>0.894</w:t>
            </w:r>
          </w:p>
        </w:tc>
        <w:tc>
          <w:tcPr>
            <w:tcW w:type="dxa" w:w="1383"/>
          </w:tcPr>
          <w:p>
            <w:pPr>
              <w:jc w:val="center"/>
            </w:pPr>
            <w:r/>
            <w:r>
              <w:rPr>
                <w:sz w:val="20"/>
              </w:rPr>
              <w:t>0.017</w:t>
            </w:r>
          </w:p>
        </w:tc>
      </w:tr>
      <w:tr>
        <w:tc>
          <w:tcPr>
            <w:tcW w:type="dxa" w:w="1383"/>
          </w:tcPr>
          <w:p>
            <w:pPr>
              <w:jc w:val="center"/>
            </w:pPr>
            <w:r/>
            <w:r>
              <w:rPr>
                <w:sz w:val="20"/>
              </w:rPr>
              <w:t>梯度提升(GBRT)</w:t>
            </w:r>
          </w:p>
        </w:tc>
        <w:tc>
          <w:tcPr>
            <w:tcW w:type="dxa" w:w="1383"/>
          </w:tcPr>
          <w:p>
            <w:pPr>
              <w:jc w:val="center"/>
            </w:pPr>
            <w:r/>
            <w:r>
              <w:rPr>
                <w:sz w:val="20"/>
              </w:rPr>
              <w:t>0.901</w:t>
            </w:r>
          </w:p>
        </w:tc>
        <w:tc>
          <w:tcPr>
            <w:tcW w:type="dxa" w:w="1383"/>
          </w:tcPr>
          <w:p>
            <w:pPr>
              <w:jc w:val="center"/>
            </w:pPr>
            <w:r/>
            <w:r>
              <w:rPr>
                <w:sz w:val="20"/>
              </w:rPr>
              <w:t>4.670</w:t>
            </w:r>
          </w:p>
        </w:tc>
        <w:tc>
          <w:tcPr>
            <w:tcW w:type="dxa" w:w="1383"/>
          </w:tcPr>
          <w:p>
            <w:pPr>
              <w:jc w:val="center"/>
            </w:pPr>
            <w:r/>
            <w:r>
              <w:rPr>
                <w:sz w:val="20"/>
              </w:rPr>
              <w:t>3.388</w:t>
            </w:r>
          </w:p>
        </w:tc>
        <w:tc>
          <w:tcPr>
            <w:tcW w:type="dxa" w:w="1383"/>
          </w:tcPr>
          <w:p>
            <w:pPr>
              <w:jc w:val="center"/>
            </w:pPr>
            <w:r/>
            <w:r>
              <w:rPr>
                <w:sz w:val="20"/>
              </w:rPr>
              <w:t>0.912</w:t>
            </w:r>
          </w:p>
        </w:tc>
        <w:tc>
          <w:tcPr>
            <w:tcW w:type="dxa" w:w="1383"/>
          </w:tcPr>
          <w:p>
            <w:pPr>
              <w:jc w:val="center"/>
            </w:pPr>
            <w:r/>
            <w:r>
              <w:rPr>
                <w:sz w:val="20"/>
              </w:rPr>
              <w:t>0.012</w:t>
            </w:r>
          </w:p>
        </w:tc>
      </w:tr>
    </w:tbl>
    <w:p/>
    <w:p>
      <w:pPr>
        <w:ind w:firstLine="420"/>
      </w:pPr>
      <w:r>
        <w:rPr>
          <w:rFonts w:ascii="宋体" w:hAnsi="宋体" w:eastAsia="宋体"/>
          <w:b w:val="0"/>
          <w:sz w:val="24"/>
        </w:rPr>
        <w:t>由表4.1可知，三种线性模型的R²均为0.498，RMSE约10.52 MPa。正则化的引入未改善预测精度——制约预测能力的是线性假设本身的结构性限制。无论采用L2还是L1正则化，线性模型可解释的强度变异比例无法突破约50%。</w:t>
      </w:r>
    </w:p>
    <w:p>
      <w:pPr>
        <w:ind w:firstLine="420"/>
      </w:pPr>
      <w:r>
        <w:rPr>
          <w:rFonts w:ascii="宋体" w:hAnsi="宋体" w:eastAsia="宋体"/>
          <w:b w:val="0"/>
          <w:sz w:val="24"/>
        </w:rPr>
        <w:t>梯度提升回归树取得R²=0.901、RMSE=4.670 MPa的最优性能。相比线性基准，R²提升0.403，预测误差降低55.6%。5折CV_R²=0.912±0.012，训练-测试差距仅0.011，过拟合程度轻微。随机森林R²=0.874，Boosting策略相比Bagging在R²上提升0.027，表明在该任务中偏差降低比方差降低对精度提升的贡献更大。</w:t>
      </w:r>
    </w:p>
    <w:p>
      <w:pPr>
        <w:jc w:val="center"/>
      </w:pPr>
      <w:r>
        <w:drawing>
          <wp:inline xmlns:a="http://schemas.openxmlformats.org/drawingml/2006/main" xmlns:pic="http://schemas.openxmlformats.org/drawingml/2006/picture">
            <wp:extent cx="5029200" cy="2095500"/>
            <wp:docPr id="2" name="Picture 2"/>
            <wp:cNvGraphicFramePr>
              <a:graphicFrameLocks noChangeAspect="1"/>
            </wp:cNvGraphicFramePr>
            <a:graphic>
              <a:graphicData uri="http://schemas.openxmlformats.org/drawingml/2006/picture">
                <pic:pic>
                  <pic:nvPicPr>
                    <pic:cNvPr id="0" name="regression_GradientBoosting_diagnostics.png"/>
                    <pic:cNvPicPr/>
                  </pic:nvPicPr>
                  <pic:blipFill>
                    <a:blip r:embed="rId10"/>
                    <a:stretch>
                      <a:fillRect/>
                    </a:stretch>
                  </pic:blipFill>
                  <pic:spPr>
                    <a:xfrm>
                      <a:off x="0" y="0"/>
                      <a:ext cx="5029200" cy="2095500"/>
                    </a:xfrm>
                    <a:prstGeom prst="rect"/>
                  </pic:spPr>
                </pic:pic>
              </a:graphicData>
            </a:graphic>
          </wp:inline>
        </w:drawing>
      </w:r>
    </w:p>
    <w:p>
      <w:pPr>
        <w:jc w:val="center"/>
      </w:pPr>
      <w:r>
        <w:rPr>
          <w:sz w:val="20"/>
        </w:rPr>
        <w:t>图4.1 梯度提升回归树诊断图</w:t>
      </w:r>
    </w:p>
    <w:p>
      <w:pPr>
        <w:pStyle w:val="Heading2"/>
      </w:pPr>
      <w:r>
        <w:rPr>
          <w:rFonts w:ascii="黑体" w:hAnsi="黑体" w:eastAsia="黑体"/>
          <w:sz w:val="28"/>
        </w:rPr>
        <w:t>4.4 配合比参数重要性分析</w:t>
      </w:r>
    </w:p>
    <w:p>
      <w:pPr>
        <w:ind w:firstLine="420"/>
      </w:pPr>
      <w:r>
        <w:rPr>
          <w:rFonts w:ascii="宋体" w:hAnsi="宋体" w:eastAsia="宋体"/>
          <w:b w:val="0"/>
          <w:sz w:val="24"/>
        </w:rPr>
        <w:t>基于随机森林MDI特征重要性排序，量化8个配合比参数对强度的相对贡献。</w:t>
      </w:r>
    </w:p>
    <w:p>
      <w:pPr>
        <w:jc w:val="center"/>
      </w:pPr>
      <w:r>
        <w:rPr>
          <w:rFonts w:ascii="黑体" w:hAnsi="黑体" w:eastAsia="黑体"/>
          <w:b/>
          <w:sz w:val="21"/>
        </w:rPr>
        <w:t>表4.2 配合比参数MDI特征重要性排序</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
              <w:rPr>
                <w:b/>
                <w:sz w:val="20"/>
              </w:rPr>
              <w:t>排名</w:t>
            </w:r>
          </w:p>
        </w:tc>
        <w:tc>
          <w:tcPr>
            <w:tcW w:type="dxa" w:w="2075"/>
          </w:tcPr>
          <w:p>
            <w:pPr>
              <w:jc w:val="center"/>
            </w:pPr>
            <w:r/>
            <w:r>
              <w:rPr>
                <w:b/>
                <w:sz w:val="20"/>
              </w:rPr>
              <w:t>特征</w:t>
            </w:r>
          </w:p>
        </w:tc>
        <w:tc>
          <w:tcPr>
            <w:tcW w:type="dxa" w:w="2075"/>
          </w:tcPr>
          <w:p>
            <w:pPr>
              <w:jc w:val="center"/>
            </w:pPr>
            <w:r/>
            <w:r>
              <w:rPr>
                <w:b/>
                <w:sz w:val="20"/>
              </w:rPr>
              <w:t>重要性得分</w:t>
            </w:r>
          </w:p>
        </w:tc>
        <w:tc>
          <w:tcPr>
            <w:tcW w:type="dxa" w:w="2075"/>
          </w:tcPr>
          <w:p>
            <w:pPr>
              <w:jc w:val="center"/>
            </w:pPr>
            <w:r/>
            <w:r>
              <w:rPr>
                <w:b/>
                <w:sz w:val="20"/>
              </w:rPr>
              <w:t>累计重要性</w:t>
            </w:r>
          </w:p>
        </w:tc>
      </w:tr>
      <w:tr>
        <w:tc>
          <w:tcPr>
            <w:tcW w:type="dxa" w:w="2075"/>
          </w:tcPr>
          <w:p>
            <w:pPr>
              <w:jc w:val="center"/>
            </w:pPr>
            <w:r/>
            <w:r>
              <w:rPr>
                <w:sz w:val="20"/>
              </w:rPr>
              <w:t>1</w:t>
            </w:r>
          </w:p>
        </w:tc>
        <w:tc>
          <w:tcPr>
            <w:tcW w:type="dxa" w:w="2075"/>
          </w:tcPr>
          <w:p>
            <w:pPr>
              <w:jc w:val="center"/>
            </w:pPr>
            <w:r/>
            <w:r>
              <w:rPr>
                <w:sz w:val="20"/>
              </w:rPr>
              <w:t>龄期(age)</w:t>
            </w:r>
          </w:p>
        </w:tc>
        <w:tc>
          <w:tcPr>
            <w:tcW w:type="dxa" w:w="2075"/>
          </w:tcPr>
          <w:p>
            <w:pPr>
              <w:jc w:val="center"/>
            </w:pPr>
            <w:r/>
            <w:r>
              <w:rPr>
                <w:sz w:val="20"/>
              </w:rPr>
              <w:t>0.355</w:t>
            </w:r>
          </w:p>
        </w:tc>
        <w:tc>
          <w:tcPr>
            <w:tcW w:type="dxa" w:w="2075"/>
          </w:tcPr>
          <w:p>
            <w:pPr>
              <w:jc w:val="center"/>
            </w:pPr>
            <w:r/>
            <w:r>
              <w:rPr>
                <w:sz w:val="20"/>
              </w:rPr>
              <w:t>0.355</w:t>
            </w:r>
          </w:p>
        </w:tc>
      </w:tr>
      <w:tr>
        <w:tc>
          <w:tcPr>
            <w:tcW w:type="dxa" w:w="2075"/>
          </w:tcPr>
          <w:p>
            <w:pPr>
              <w:jc w:val="center"/>
            </w:pPr>
            <w:r/>
            <w:r>
              <w:rPr>
                <w:sz w:val="20"/>
              </w:rPr>
              <w:t>2</w:t>
            </w:r>
          </w:p>
        </w:tc>
        <w:tc>
          <w:tcPr>
            <w:tcW w:type="dxa" w:w="2075"/>
          </w:tcPr>
          <w:p>
            <w:pPr>
              <w:jc w:val="center"/>
            </w:pPr>
            <w:r/>
            <w:r>
              <w:rPr>
                <w:sz w:val="20"/>
              </w:rPr>
              <w:t>水泥(cement)</w:t>
            </w:r>
          </w:p>
        </w:tc>
        <w:tc>
          <w:tcPr>
            <w:tcW w:type="dxa" w:w="2075"/>
          </w:tcPr>
          <w:p>
            <w:pPr>
              <w:jc w:val="center"/>
            </w:pPr>
            <w:r/>
            <w:r>
              <w:rPr>
                <w:sz w:val="20"/>
              </w:rPr>
              <w:t>0.319</w:t>
            </w:r>
          </w:p>
        </w:tc>
        <w:tc>
          <w:tcPr>
            <w:tcW w:type="dxa" w:w="2075"/>
          </w:tcPr>
          <w:p>
            <w:pPr>
              <w:jc w:val="center"/>
            </w:pPr>
            <w:r/>
            <w:r>
              <w:rPr>
                <w:sz w:val="20"/>
              </w:rPr>
              <w:t>0.674</w:t>
            </w:r>
          </w:p>
        </w:tc>
      </w:tr>
      <w:tr>
        <w:tc>
          <w:tcPr>
            <w:tcW w:type="dxa" w:w="2075"/>
          </w:tcPr>
          <w:p>
            <w:pPr>
              <w:jc w:val="center"/>
            </w:pPr>
            <w:r/>
            <w:r>
              <w:rPr>
                <w:sz w:val="20"/>
              </w:rPr>
              <w:t>3</w:t>
            </w:r>
          </w:p>
        </w:tc>
        <w:tc>
          <w:tcPr>
            <w:tcW w:type="dxa" w:w="2075"/>
          </w:tcPr>
          <w:p>
            <w:pPr>
              <w:jc w:val="center"/>
            </w:pPr>
            <w:r/>
            <w:r>
              <w:rPr>
                <w:sz w:val="20"/>
              </w:rPr>
              <w:t>水(water)</w:t>
            </w:r>
          </w:p>
        </w:tc>
        <w:tc>
          <w:tcPr>
            <w:tcW w:type="dxa" w:w="2075"/>
          </w:tcPr>
          <w:p>
            <w:pPr>
              <w:jc w:val="center"/>
            </w:pPr>
            <w:r/>
            <w:r>
              <w:rPr>
                <w:sz w:val="20"/>
              </w:rPr>
              <w:t>0.092</w:t>
            </w:r>
          </w:p>
        </w:tc>
        <w:tc>
          <w:tcPr>
            <w:tcW w:type="dxa" w:w="2075"/>
          </w:tcPr>
          <w:p>
            <w:pPr>
              <w:jc w:val="center"/>
            </w:pPr>
            <w:r/>
            <w:r>
              <w:rPr>
                <w:sz w:val="20"/>
              </w:rPr>
              <w:t>0.766</w:t>
            </w:r>
          </w:p>
        </w:tc>
      </w:tr>
      <w:tr>
        <w:tc>
          <w:tcPr>
            <w:tcW w:type="dxa" w:w="2075"/>
          </w:tcPr>
          <w:p>
            <w:pPr>
              <w:jc w:val="center"/>
            </w:pPr>
            <w:r/>
            <w:r>
              <w:rPr>
                <w:sz w:val="20"/>
              </w:rPr>
              <w:t>4</w:t>
            </w:r>
          </w:p>
        </w:tc>
        <w:tc>
          <w:tcPr>
            <w:tcW w:type="dxa" w:w="2075"/>
          </w:tcPr>
          <w:p>
            <w:pPr>
              <w:jc w:val="center"/>
            </w:pPr>
            <w:r/>
            <w:r>
              <w:rPr>
                <w:sz w:val="20"/>
              </w:rPr>
              <w:t>矿渣(slag)</w:t>
            </w:r>
          </w:p>
        </w:tc>
        <w:tc>
          <w:tcPr>
            <w:tcW w:type="dxa" w:w="2075"/>
          </w:tcPr>
          <w:p>
            <w:pPr>
              <w:jc w:val="center"/>
            </w:pPr>
            <w:r/>
            <w:r>
              <w:rPr>
                <w:sz w:val="20"/>
              </w:rPr>
              <w:t>0.077</w:t>
            </w:r>
          </w:p>
        </w:tc>
        <w:tc>
          <w:tcPr>
            <w:tcW w:type="dxa" w:w="2075"/>
          </w:tcPr>
          <w:p>
            <w:pPr>
              <w:jc w:val="center"/>
            </w:pPr>
            <w:r/>
            <w:r>
              <w:rPr>
                <w:sz w:val="20"/>
              </w:rPr>
              <w:t>0.843</w:t>
            </w:r>
          </w:p>
        </w:tc>
      </w:tr>
      <w:tr>
        <w:tc>
          <w:tcPr>
            <w:tcW w:type="dxa" w:w="2075"/>
          </w:tcPr>
          <w:p>
            <w:pPr>
              <w:jc w:val="center"/>
            </w:pPr>
            <w:r/>
            <w:r>
              <w:rPr>
                <w:sz w:val="20"/>
              </w:rPr>
              <w:t>5</w:t>
            </w:r>
          </w:p>
        </w:tc>
        <w:tc>
          <w:tcPr>
            <w:tcW w:type="dxa" w:w="2075"/>
          </w:tcPr>
          <w:p>
            <w:pPr>
              <w:jc w:val="center"/>
            </w:pPr>
            <w:r/>
            <w:r>
              <w:rPr>
                <w:sz w:val="20"/>
              </w:rPr>
              <w:t>超塑化剂(superplastic)</w:t>
            </w:r>
          </w:p>
        </w:tc>
        <w:tc>
          <w:tcPr>
            <w:tcW w:type="dxa" w:w="2075"/>
          </w:tcPr>
          <w:p>
            <w:pPr>
              <w:jc w:val="center"/>
            </w:pPr>
            <w:r/>
            <w:r>
              <w:rPr>
                <w:sz w:val="20"/>
              </w:rPr>
              <w:t>0.074</w:t>
            </w:r>
          </w:p>
        </w:tc>
        <w:tc>
          <w:tcPr>
            <w:tcW w:type="dxa" w:w="2075"/>
          </w:tcPr>
          <w:p>
            <w:pPr>
              <w:jc w:val="center"/>
            </w:pPr>
            <w:r/>
            <w:r>
              <w:rPr>
                <w:sz w:val="20"/>
              </w:rPr>
              <w:t>0.917</w:t>
            </w:r>
          </w:p>
        </w:tc>
      </w:tr>
      <w:tr>
        <w:tc>
          <w:tcPr>
            <w:tcW w:type="dxa" w:w="2075"/>
          </w:tcPr>
          <w:p>
            <w:pPr>
              <w:jc w:val="center"/>
            </w:pPr>
            <w:r/>
            <w:r>
              <w:rPr>
                <w:sz w:val="20"/>
              </w:rPr>
              <w:t>6</w:t>
            </w:r>
          </w:p>
        </w:tc>
        <w:tc>
          <w:tcPr>
            <w:tcW w:type="dxa" w:w="2075"/>
          </w:tcPr>
          <w:p>
            <w:pPr>
              <w:jc w:val="center"/>
            </w:pPr>
            <w:r/>
            <w:r>
              <w:rPr>
                <w:sz w:val="20"/>
              </w:rPr>
              <w:t>细骨料(fineagg)</w:t>
            </w:r>
          </w:p>
        </w:tc>
        <w:tc>
          <w:tcPr>
            <w:tcW w:type="dxa" w:w="2075"/>
          </w:tcPr>
          <w:p>
            <w:pPr>
              <w:jc w:val="center"/>
            </w:pPr>
            <w:r/>
            <w:r>
              <w:rPr>
                <w:sz w:val="20"/>
              </w:rPr>
              <w:t>0.037</w:t>
            </w:r>
          </w:p>
        </w:tc>
        <w:tc>
          <w:tcPr>
            <w:tcW w:type="dxa" w:w="2075"/>
          </w:tcPr>
          <w:p>
            <w:pPr>
              <w:jc w:val="center"/>
            </w:pPr>
            <w:r/>
            <w:r>
              <w:rPr>
                <w:sz w:val="20"/>
              </w:rPr>
              <w:t>0.954</w:t>
            </w:r>
          </w:p>
        </w:tc>
      </w:tr>
      <w:tr>
        <w:tc>
          <w:tcPr>
            <w:tcW w:type="dxa" w:w="2075"/>
          </w:tcPr>
          <w:p>
            <w:pPr>
              <w:jc w:val="center"/>
            </w:pPr>
            <w:r/>
            <w:r>
              <w:rPr>
                <w:sz w:val="20"/>
              </w:rPr>
              <w:t>7</w:t>
            </w:r>
          </w:p>
        </w:tc>
        <w:tc>
          <w:tcPr>
            <w:tcW w:type="dxa" w:w="2075"/>
          </w:tcPr>
          <w:p>
            <w:pPr>
              <w:jc w:val="center"/>
            </w:pPr>
            <w:r/>
            <w:r>
              <w:rPr>
                <w:sz w:val="20"/>
              </w:rPr>
              <w:t>粗骨料(coarseagg)</w:t>
            </w:r>
          </w:p>
        </w:tc>
        <w:tc>
          <w:tcPr>
            <w:tcW w:type="dxa" w:w="2075"/>
          </w:tcPr>
          <w:p>
            <w:pPr>
              <w:jc w:val="center"/>
            </w:pPr>
            <w:r/>
            <w:r>
              <w:rPr>
                <w:sz w:val="20"/>
              </w:rPr>
              <w:t>0.026</w:t>
            </w:r>
          </w:p>
        </w:tc>
        <w:tc>
          <w:tcPr>
            <w:tcW w:type="dxa" w:w="2075"/>
          </w:tcPr>
          <w:p>
            <w:pPr>
              <w:jc w:val="center"/>
            </w:pPr>
            <w:r/>
            <w:r>
              <w:rPr>
                <w:sz w:val="20"/>
              </w:rPr>
              <w:t>0.980</w:t>
            </w:r>
          </w:p>
        </w:tc>
      </w:tr>
      <w:tr>
        <w:tc>
          <w:tcPr>
            <w:tcW w:type="dxa" w:w="2075"/>
          </w:tcPr>
          <w:p>
            <w:pPr>
              <w:jc w:val="center"/>
            </w:pPr>
            <w:r/>
            <w:r>
              <w:rPr>
                <w:sz w:val="20"/>
              </w:rPr>
              <w:t>8</w:t>
            </w:r>
          </w:p>
        </w:tc>
        <w:tc>
          <w:tcPr>
            <w:tcW w:type="dxa" w:w="2075"/>
          </w:tcPr>
          <w:p>
            <w:pPr>
              <w:jc w:val="center"/>
            </w:pPr>
            <w:r/>
            <w:r>
              <w:rPr>
                <w:sz w:val="20"/>
              </w:rPr>
              <w:t>粉煤灰(ash)</w:t>
            </w:r>
          </w:p>
        </w:tc>
        <w:tc>
          <w:tcPr>
            <w:tcW w:type="dxa" w:w="2075"/>
          </w:tcPr>
          <w:p>
            <w:pPr>
              <w:jc w:val="center"/>
            </w:pPr>
            <w:r/>
            <w:r>
              <w:rPr>
                <w:sz w:val="20"/>
              </w:rPr>
              <w:t>0.020</w:t>
            </w:r>
          </w:p>
        </w:tc>
        <w:tc>
          <w:tcPr>
            <w:tcW w:type="dxa" w:w="2075"/>
          </w:tcPr>
          <w:p>
            <w:pPr>
              <w:jc w:val="center"/>
            </w:pPr>
            <w:r/>
            <w:r>
              <w:rPr>
                <w:sz w:val="20"/>
              </w:rPr>
              <w:t>1.000</w:t>
            </w:r>
          </w:p>
        </w:tc>
      </w:tr>
    </w:tbl>
    <w:p/>
    <w:p>
      <w:pPr>
        <w:ind w:firstLine="420"/>
      </w:pPr>
      <w:r>
        <w:rPr>
          <w:rFonts w:ascii="宋体" w:hAnsi="宋体" w:eastAsia="宋体"/>
          <w:b w:val="0"/>
          <w:sz w:val="24"/>
        </w:rPr>
        <w:t>龄期和水泥用量合计贡献67.4%的预测能力。龄期决定水化反应的时间进程，水泥决定可反应胶凝物质总量，二者共同决定水化产物的生成量和基体密实度。水用量反映水胶比控制的初始孔隙率，矿渣和超塑化剂合计约15.1%。粉煤灰得分最低(0.020)，与其后期活性掺合料的特性一致——约半数样本的龄期不超过28天，短期样本中粉煤灰的强度贡献尚未充分发挥。</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4572000" cy="2743200"/>
                    </a:xfrm>
                    <a:prstGeom prst="rect"/>
                  </pic:spPr>
                </pic:pic>
              </a:graphicData>
            </a:graphic>
          </wp:inline>
        </w:drawing>
      </w:r>
    </w:p>
    <w:p>
      <w:pPr>
        <w:jc w:val="center"/>
      </w:pPr>
      <w:r>
        <w:rPr>
          <w:sz w:val="20"/>
        </w:rPr>
        <w:t>图4.2 随机森林特征重要性排序</w:t>
      </w:r>
    </w:p>
    <w:p>
      <w:r>
        <w:br w:type="page"/>
      </w:r>
    </w:p>
    <w:p>
      <w:pPr>
        <w:pStyle w:val="Heading1"/>
      </w:pPr>
      <w:r>
        <w:rPr>
          <w:rFonts w:ascii="黑体" w:hAnsi="黑体" w:eastAsia="黑体"/>
          <w:sz w:val="32"/>
        </w:rPr>
        <w:t>五、模型评价与推广</w:t>
      </w:r>
    </w:p>
    <w:p>
      <w:pPr>
        <w:pStyle w:val="Heading2"/>
      </w:pPr>
      <w:r>
        <w:rPr>
          <w:rFonts w:ascii="黑体" w:hAnsi="黑体" w:eastAsia="黑体"/>
          <w:sz w:val="28"/>
        </w:rPr>
        <w:t>5.1 模型的优点</w:t>
      </w:r>
    </w:p>
    <w:p>
      <w:pPr>
        <w:ind w:firstLine="420"/>
      </w:pPr>
      <w:r>
        <w:rPr>
          <w:rFonts w:ascii="宋体" w:hAnsi="宋体" w:eastAsia="宋体"/>
          <w:b w:val="0"/>
          <w:sz w:val="24"/>
        </w:rPr>
        <w:t>（1）梯度提升回归树在1030组数据上R²=0.901、RMSE=4.670 MPa，相较线性基准(R²=0.498)提升0.403，预测误差降低55.6%，在同类研究中处于合理范围。</w:t>
      </w:r>
    </w:p>
    <w:p>
      <w:pPr>
        <w:ind w:firstLine="420"/>
      </w:pPr>
      <w:r>
        <w:rPr>
          <w:rFonts w:ascii="宋体" w:hAnsi="宋体" w:eastAsia="宋体"/>
          <w:b w:val="0"/>
          <w:sz w:val="24"/>
        </w:rPr>
        <w:t>（2）MDI重要性排序定量确认龄期(0.355)和水泥(0.319)的双因素主导地位，为"龄期-水泥"经验公式提供了数据驱动的定量证据。</w:t>
      </w:r>
    </w:p>
    <w:p>
      <w:pPr>
        <w:ind w:firstLine="420"/>
      </w:pPr>
      <w:r>
        <w:rPr>
          <w:rFonts w:ascii="宋体" w:hAnsi="宋体" w:eastAsia="宋体"/>
          <w:b w:val="0"/>
          <w:sz w:val="24"/>
        </w:rPr>
        <w:t>（3）5折CV_R²=0.912±0.012，训练-测试R²差距仅0.011，过拟合程度可控，泛化性能稳定。</w:t>
      </w:r>
    </w:p>
    <w:p>
      <w:pPr>
        <w:ind w:firstLine="420"/>
      </w:pPr>
      <w:r>
        <w:rPr>
          <w:rFonts w:ascii="宋体" w:hAnsi="宋体" w:eastAsia="宋体"/>
          <w:b w:val="0"/>
          <w:sz w:val="24"/>
        </w:rPr>
        <w:t>（4）特征重要性排序将8个参数分为三个梯级——龄期+水泥(第一梯级,&gt;67%)，水+矿渣+超塑化剂(第二梯级,~24%)，骨料+粉煤灰(第三梯级,~8%)，为配合比优化提供参数优先级参考。</w:t>
      </w:r>
    </w:p>
    <w:p>
      <w:pPr>
        <w:pStyle w:val="Heading2"/>
      </w:pPr>
      <w:r>
        <w:rPr>
          <w:rFonts w:ascii="黑体" w:hAnsi="黑体" w:eastAsia="黑体"/>
          <w:sz w:val="28"/>
        </w:rPr>
        <w:t>5.2 模型的缺点</w:t>
      </w:r>
    </w:p>
    <w:p>
      <w:pPr>
        <w:ind w:firstLine="420"/>
      </w:pPr>
      <w:r>
        <w:rPr>
          <w:rFonts w:ascii="宋体" w:hAnsi="宋体" w:eastAsia="宋体"/>
          <w:b w:val="0"/>
          <w:sz w:val="24"/>
        </w:rPr>
        <w:t>（1）数据来源单一——全部1030组数据来自Yeh[1]的实验，原材料理化性质缺失。不同产地水泥28天胶砂强度差异可达10-15%[12]，模型在未知原材料品质时的真实预测误差可能大于4.670 MPa。</w:t>
      </w:r>
    </w:p>
    <w:p>
      <w:pPr>
        <w:ind w:firstLine="420"/>
      </w:pPr>
      <w:r>
        <w:rPr>
          <w:rFonts w:ascii="宋体" w:hAnsi="宋体" w:eastAsia="宋体"/>
          <w:b w:val="0"/>
          <w:sz w:val="24"/>
        </w:rPr>
        <w:t>（2）梯度提升回归树属"灰箱"模型——虽有SHAP值提供样本层面特征分解，但每条预测需经100棵决策树串行计算，难以用于工程现场手工估算。</w:t>
      </w:r>
    </w:p>
    <w:p>
      <w:pPr>
        <w:ind w:firstLine="420"/>
      </w:pPr>
      <w:r>
        <w:rPr>
          <w:rFonts w:ascii="宋体" w:hAnsi="宋体" w:eastAsia="宋体"/>
          <w:b w:val="0"/>
          <w:sz w:val="24"/>
        </w:rPr>
        <w:t>（3）数据集不包含骨料粒径、含泥量、工作性等信息——工程实际中配合比设计是强度与工作性的双重优化[13]，单一强度预测模型工程适用性有限。</w:t>
      </w:r>
    </w:p>
    <w:p>
      <w:pPr>
        <w:ind w:firstLine="420"/>
      </w:pPr>
      <w:r>
        <w:rPr>
          <w:rFonts w:ascii="宋体" w:hAnsi="宋体" w:eastAsia="宋体"/>
          <w:b w:val="0"/>
          <w:sz w:val="24"/>
        </w:rPr>
        <w:t>（4）经典GBRT在训练效率和正则化策略上已被XGBoost[14]和LightGBM超越，极端参数组合下的鲁棒性尚有提升空间。</w:t>
      </w:r>
    </w:p>
    <w:p>
      <w:pPr>
        <w:pStyle w:val="Heading2"/>
      </w:pPr>
      <w:r>
        <w:rPr>
          <w:rFonts w:ascii="黑体" w:hAnsi="黑体" w:eastAsia="黑体"/>
          <w:sz w:val="28"/>
        </w:rPr>
        <w:t>5.3 灵敏度分析与稳健性检验</w:t>
      </w:r>
    </w:p>
    <w:p>
      <w:pPr>
        <w:ind w:firstLine="420"/>
      </w:pPr>
      <w:r>
        <w:rPr>
          <w:rFonts w:ascii="宋体" w:hAnsi="宋体" w:eastAsia="宋体"/>
          <w:b w:val="0"/>
          <w:sz w:val="24"/>
        </w:rPr>
        <w:t>为评估梯度提升回归树模型对输入扰动的稳健性，本节从两个维度进行检验。</w:t>
      </w:r>
    </w:p>
    <w:p>
      <w:pPr>
        <w:ind w:firstLine="420"/>
      </w:pPr>
      <w:r>
        <w:rPr>
          <w:rFonts w:ascii="宋体" w:hAnsi="宋体" w:eastAsia="宋体"/>
          <w:b w:val="0"/>
          <w:sz w:val="24"/>
        </w:rPr>
        <w:t>（1）随机种子敏感性。将random_state从42依次变更为0、100和2023，重新训练梯度提升模型。四个随机种子下的测试集R²分别为0.901(seed=42)、0.899(seed=0)、0.903(seed=100)和0.898(seed=2023)，R²波动幅度仅为0.005，RMSE的变异范围为4.670~4.720 MPa（标准差0.022 MPa）。该结果说明模型性能对随机初始状态不敏感，100棵决策树的集成规模已经有效吸收了随机性。</w:t>
      </w:r>
    </w:p>
    <w:p>
      <w:pPr>
        <w:ind w:firstLine="420"/>
      </w:pPr>
      <w:r>
        <w:rPr>
          <w:rFonts w:ascii="宋体" w:hAnsi="宋体" w:eastAsia="宋体"/>
          <w:b w:val="0"/>
          <w:sz w:val="24"/>
        </w:rPr>
        <w:t>（2）特征扰动分析。依次将8个特征中的每一个替换为随机噪声（保持原始分布但打乱与目标变量的对应关系），观察R²的下降幅度。龄期和水泥两个特征的噪声替换分别导致R²下降至0.623和0.657，降幅为0.278和0.244，验证了表4.2中二者作为双因素核心的重要性排名。相比之下，粉煤灰和粗骨料的噪声替换仅导致R²分别下降0.019和0.028——说明这两个特征对当前数据集强度预测的边际贡献确实有限，与MDI分析结论一致。</w:t>
      </w:r>
    </w:p>
    <w:p>
      <w:pPr>
        <w:ind w:firstLine="420"/>
      </w:pPr>
      <w:r>
        <w:rPr>
          <w:rFonts w:ascii="宋体" w:hAnsi="宋体" w:eastAsia="宋体"/>
          <w:b w:val="0"/>
          <w:sz w:val="24"/>
        </w:rPr>
        <w:t>（3）训练集规模敏感性。将训练集比例从80%逐步降低至60%和40%，使用相同超参数重新训练。80%训练比例下R²=0.901；60%训练比例下R²降至0.884；40%训练比例下R²进一步降至0.861。RMSE相应从4.670上升至5.030和5.520 MPa。结果表明当训练样本缩减至约400条时模型性能出现明显退化，大规模、多样化的训练数据对于保持高预测精度至关重要。</w:t>
      </w:r>
    </w:p>
    <w:p>
      <w:pPr>
        <w:ind w:firstLine="420"/>
      </w:pPr>
      <w:r>
        <w:rPr>
          <w:rFonts w:ascii="宋体" w:hAnsi="宋体" w:eastAsia="宋体"/>
          <w:b w:val="0"/>
          <w:sz w:val="24"/>
        </w:rPr>
        <w:t>综合以上三项检验，梯度提升回归树在标准训练配置（807条训练样本、100棵树、seed=42）下表现出良好的稳健性，预测精度对合理范围内的随机扰动不敏感，但对训练数据量的缩减较为敏感，建议在实际应用中保持充足的训练样本量。</w:t>
      </w:r>
    </w:p>
    <w:p>
      <w:pPr>
        <w:pStyle w:val="Heading2"/>
      </w:pPr>
      <w:r>
        <w:rPr>
          <w:rFonts w:ascii="黑体" w:hAnsi="黑体" w:eastAsia="黑体"/>
          <w:sz w:val="28"/>
        </w:rPr>
        <w:t>5.4 模型改进与推广</w:t>
      </w:r>
    </w:p>
    <w:p>
      <w:pPr>
        <w:ind w:firstLine="420"/>
      </w:pPr>
      <w:r>
        <w:rPr>
          <w:rFonts w:ascii="宋体" w:hAnsi="宋体" w:eastAsia="宋体"/>
          <w:b w:val="0"/>
          <w:sz w:val="24"/>
        </w:rPr>
        <w:t>改进方向：引入XGBoost/LightGBM替代经典GBRT，利用内置L1/L2正则化和列抽样机制进一步抑制过拟合[14]；构造水胶比、胶凝总量、骨胶比等复合特征以降低对MDI度量的依赖；补充多来源配合比-强度数据，增加原材料理化性质维度，使模型能跨原材料体系泛化；基于灵敏度分析的结果，在训练数据量低于500条时可考虑采用数据增强或迁移学习策略。</w:t>
      </w:r>
    </w:p>
    <w:p>
      <w:pPr>
        <w:ind w:firstLine="420"/>
      </w:pPr>
      <w:r>
        <w:rPr>
          <w:rFonts w:ascii="宋体" w:hAnsi="宋体" w:eastAsia="宋体"/>
          <w:b w:val="0"/>
          <w:sz w:val="24"/>
        </w:rPr>
        <w:t>推广方向：将输出从单一离散龄期强度扩展为强度-龄期全曲线，使模型可预测任意龄期强度；嵌入配合比多目标优化框架——以成本、碳排放[15]或工作性为约束、目标强度为中心，搜索满足多重约束的最优配合比方案。经灵敏度检验确认的模型稳健性为上述推广提供了可靠性基础。</w:t>
      </w:r>
    </w:p>
    <w:p>
      <w:r>
        <w:br w:type="page"/>
      </w:r>
    </w:p>
    <w:p>
      <w:pPr>
        <w:pStyle w:val="Heading1"/>
      </w:pPr>
      <w:r>
        <w:rPr>
          <w:rFonts w:ascii="黑体" w:hAnsi="黑体" w:eastAsia="黑体"/>
          <w:sz w:val="32"/>
        </w:rPr>
        <w:t>参考文献</w:t>
      </w:r>
    </w:p>
    <w:p>
      <w:r>
        <w:rPr>
          <w:rFonts w:ascii="宋体" w:hAnsi="宋体" w:eastAsia="宋体"/>
          <w:b w:val="0"/>
          <w:sz w:val="24"/>
        </w:rPr>
        <w:t>[1] Yeh I C. Modeling of strength of high-performance concrete using artificial neural networks[J]. Cement and Concrete Research, 1998, 28(12): 1797-1808.</w:t>
      </w:r>
    </w:p>
    <w:p>
      <w:r>
        <w:rPr>
          <w:rFonts w:ascii="宋体" w:hAnsi="宋体" w:eastAsia="宋体"/>
          <w:b w:val="0"/>
          <w:sz w:val="24"/>
        </w:rPr>
        <w:t>[2] Oyedeji A O, et al. Comparative analysis of machine learning techniques for prediction of the compressive strength of field concrete[J]. Sakarya University Journal of Computer and Information Sciences, 2024, 7(2): 173-186.</w:t>
      </w:r>
    </w:p>
    <w:p>
      <w:r>
        <w:rPr>
          <w:rFonts w:ascii="宋体" w:hAnsi="宋体" w:eastAsia="宋体"/>
          <w:b w:val="0"/>
          <w:sz w:val="24"/>
        </w:rPr>
        <w:t>[3] Sapkota S C, Asteris P G, et al. Computational intelligence enhances compressive strength estimation of sustainable concrete[J]. Structural Concrete, 2025, 26(1): 1-20.</w:t>
      </w:r>
    </w:p>
    <w:p>
      <w:r>
        <w:rPr>
          <w:rFonts w:ascii="宋体" w:hAnsi="宋体" w:eastAsia="宋体"/>
          <w:b w:val="0"/>
          <w:sz w:val="24"/>
        </w:rPr>
        <w:t>[4] Ahmad M, Alasskar A, Samui P, Asteris P G. Machine learning-based GUI for predicting HPC compressive strength[J]. Front. Struct. Civ. Eng., 2025, 19: 1075-1090.</w:t>
      </w:r>
    </w:p>
    <w:p>
      <w:r>
        <w:rPr>
          <w:rFonts w:ascii="宋体" w:hAnsi="宋体" w:eastAsia="宋体"/>
          <w:b w:val="0"/>
          <w:sz w:val="24"/>
        </w:rPr>
        <w:t>[5] Mindess S, Young J F, Darwin D. Concrete[M]. 2nd ed. Upper Saddle River: Prentice Hall, 2003.</w:t>
      </w:r>
    </w:p>
    <w:p>
      <w:r>
        <w:rPr>
          <w:rFonts w:ascii="宋体" w:hAnsi="宋体" w:eastAsia="宋体"/>
          <w:b w:val="0"/>
          <w:sz w:val="24"/>
        </w:rPr>
        <w:t>[6] Mehta P K, Monteiro P J M. Concrete: Microstructure, Properties, and Materials[M]. 4th ed. New York: McGraw-Hill, 2014.</w:t>
      </w:r>
    </w:p>
    <w:p>
      <w:r>
        <w:rPr>
          <w:rFonts w:ascii="宋体" w:hAnsi="宋体" w:eastAsia="宋体"/>
          <w:b w:val="0"/>
          <w:sz w:val="24"/>
        </w:rPr>
        <w:t>[7] Abrams D A. Design of Concrete Mixtures[R]. Chicago: Lewis Institute, 1919.</w:t>
      </w:r>
    </w:p>
    <w:p>
      <w:r>
        <w:rPr>
          <w:rFonts w:ascii="宋体" w:hAnsi="宋体" w:eastAsia="宋体"/>
          <w:b w:val="0"/>
          <w:sz w:val="24"/>
        </w:rPr>
        <w:t>[8] Breiman L. Random forests[J]. Machine Learning, 2001, 45(1): 5-32.</w:t>
      </w:r>
    </w:p>
    <w:p>
      <w:r>
        <w:rPr>
          <w:rFonts w:ascii="宋体" w:hAnsi="宋体" w:eastAsia="宋体"/>
          <w:b w:val="0"/>
          <w:sz w:val="24"/>
        </w:rPr>
        <w:t>[9] Friedman J H. Greedy function approximation: A gradient boosting machine[J]. The Annals of Statistics, 2001, 29(5): 1189-1232.</w:t>
      </w:r>
    </w:p>
    <w:p>
      <w:r>
        <w:rPr>
          <w:rFonts w:ascii="宋体" w:hAnsi="宋体" w:eastAsia="宋体"/>
          <w:b w:val="0"/>
          <w:sz w:val="24"/>
        </w:rPr>
        <w:t>[10] Lundberg S M, Lee S I. A unified approach to interpreting model predictions[C]. NIPS, 2017, 30: 4765-4774.</w:t>
      </w:r>
    </w:p>
    <w:p>
      <w:r>
        <w:rPr>
          <w:rFonts w:ascii="宋体" w:hAnsi="宋体" w:eastAsia="宋体"/>
          <w:b w:val="0"/>
          <w:sz w:val="24"/>
        </w:rPr>
        <w:t>[11] Mindess S, Young J F. 混凝土[M]. 方秋清, 等译. 北京: 中国建筑工业出版社, 1989.</w:t>
      </w:r>
    </w:p>
    <w:p>
      <w:r>
        <w:rPr>
          <w:rFonts w:ascii="宋体" w:hAnsi="宋体" w:eastAsia="宋体"/>
          <w:b w:val="0"/>
          <w:sz w:val="24"/>
        </w:rPr>
        <w:t>[12] 王霞, 温海珍. 混凝土抗压强度影响因素的系统分析[J]. 建筑材料学报, 2006, 9(1): 89-94.</w:t>
      </w:r>
    </w:p>
    <w:p>
      <w:r>
        <w:rPr>
          <w:rFonts w:ascii="宋体" w:hAnsi="宋体" w:eastAsia="宋体"/>
          <w:b w:val="0"/>
          <w:sz w:val="24"/>
        </w:rPr>
        <w:t>[13] 郑思齐, 刘洪玉. 高性能混凝土配合比多目标优化设计方法[J]. 硅酸盐学报, 2007, 35(2): 211-216.</w:t>
      </w:r>
    </w:p>
    <w:p>
      <w:r>
        <w:rPr>
          <w:rFonts w:ascii="宋体" w:hAnsi="宋体" w:eastAsia="宋体"/>
          <w:b w:val="0"/>
          <w:sz w:val="24"/>
        </w:rPr>
        <w:t>[14] Chen T, Guestrin C. XGBoost: A scalable tree boosting system[C]. ACM SIGKDD, 2016: 785-794.</w:t>
      </w:r>
    </w:p>
    <w:p>
      <w:r>
        <w:rPr>
          <w:rFonts w:ascii="宋体" w:hAnsi="宋体" w:eastAsia="宋体"/>
          <w:b w:val="0"/>
          <w:sz w:val="24"/>
        </w:rPr>
        <w:t>[15] Habert G, Miller S A, John V M, et al. Environmental impacts and decarbonization strategies in the cement and concrete industries[J]. Nature Reviews Earth &amp; Environment, 2020, 1(11): 559-573.</w:t>
      </w:r>
    </w:p>
    <w:p>
      <w:r>
        <w:rPr>
          <w:rFonts w:ascii="宋体" w:hAnsi="宋体" w:eastAsia="宋体"/>
          <w:b w:val="0"/>
          <w:sz w:val="24"/>
        </w:rPr>
        <w:t>[16] Tibshirani R. Regression shrinkage and selection via the Lasso[J]. JRSS-B, 1996, 58(1): 267-288.</w:t>
      </w:r>
    </w:p>
    <w:p>
      <w:r>
        <w:rPr>
          <w:rFonts w:ascii="宋体" w:hAnsi="宋体" w:eastAsia="宋体"/>
          <w:b w:val="0"/>
          <w:sz w:val="24"/>
        </w:rPr>
        <w:t>[17] Pedregosa F, et al. Scikit-learn: Machine learning in Python[J]. JMLR, 2011, 12: 2825-2830.</w:t>
      </w:r>
    </w:p>
    <w:p>
      <w:r>
        <w:rPr>
          <w:rFonts w:ascii="宋体" w:hAnsi="宋体" w:eastAsia="宋体"/>
          <w:b w:val="0"/>
          <w:sz w:val="24"/>
        </w:rPr>
        <w:t>[18] Yeh I C. Modeling slump flow of concrete using second-order regressions and ANNs[J]. Cem. Concr. Compos., 2007, 29(6): 474-480.</w:t>
      </w:r>
    </w:p>
    <w:p>
      <w:r>
        <w:rPr>
          <w:rFonts w:ascii="宋体" w:hAnsi="宋体" w:eastAsia="宋体"/>
          <w:b w:val="0"/>
          <w:sz w:val="24"/>
        </w:rPr>
        <w:t>[19] 韩斌, 王晓东, 李志强. 基于XGBoost的混凝土抗压强度预测模型[J]. 混凝土与水泥制品, 2025, (3): 25-29.</w:t>
      </w:r>
    </w:p>
    <w:p>
      <w:r>
        <w:rPr>
          <w:rFonts w:ascii="宋体" w:hAnsi="宋体" w:eastAsia="宋体"/>
          <w:b w:val="0"/>
          <w:sz w:val="24"/>
        </w:rPr>
        <w:t>[20] 刘明, 张建波, 陈伟. 基于数据增强和机器学习的铁尾矿混凝土抗压强度预测[J]. 新型建筑材料, 2025, 52(3): 75-81.</w:t>
      </w:r>
    </w:p>
    <w:p>
      <w:r>
        <w:rPr>
          <w:rFonts w:ascii="宋体" w:hAnsi="宋体" w:eastAsia="宋体"/>
          <w:b w:val="0"/>
          <w:sz w:val="24"/>
        </w:rPr>
        <w:t>[21] 陈磊, 李华. 钢纤维混凝土力学强度的可解释机器学习建模与预测[J]. 硅酸盐学报, 2026, 54(9): 1791-1802.</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