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4513"/>
          <w:sz w:val="40"/>
        </w:rPr>
        <w:t>Lina's Bakery — Action Plan</w:t>
      </w:r>
    </w:p>
    <w:p>
      <w:pPr>
        <w:jc w:val="center"/>
      </w:pPr>
      <w:r>
        <w:rPr>
          <w:i/>
          <w:sz w:val="26"/>
        </w:rPr>
        <w:t>What to do this week</w:t>
      </w:r>
    </w:p>
    <w:p/>
    <w:p>
      <w:r>
        <w:rPr>
          <w:b/>
          <w:color w:val="8B4513"/>
          <w:sz w:val="30"/>
        </w:rPr>
        <w:t>Week 1 — Actions (highest priority first)</w:t>
      </w:r>
    </w:p>
    <w:p>
      <w:pPr>
        <w:spacing w:before="200" w:after="60"/>
      </w:pPr>
      <w:r>
        <w:rPr>
          <w:b/>
          <w:color w:val="1F497D"/>
          <w:sz w:val="24"/>
        </w:rPr>
        <w:t>1. Check if you received a previous digitalisation grant during COVID</w:t>
      </w:r>
    </w:p>
    <w:p>
      <w:pPr>
        <w:spacing w:after="40"/>
        <w:ind w:left="432"/>
      </w:pPr>
      <w:r>
        <w:rPr>
          <w:sz w:val="20"/>
        </w:rPr>
        <w:t>Ask your accountant (LK Tan &amp; Associates) or check with your husband whether the business received any digitalisation matching grant during the COVID period. This is the single most important action this week — it determines whether you can get RM4,000 or RM1,200 from the Geran Digital PMKS MADANI grant.</w:t>
      </w:r>
    </w:p>
    <w:p>
      <w:pPr>
        <w:spacing w:after="40"/>
        <w:ind w:left="432"/>
      </w:pPr>
      <w:r>
        <w:rPr>
          <w:i/>
          <w:color w:val="006000"/>
          <w:sz w:val="20"/>
        </w:rPr>
        <w:t>Why it matters: If you did NOT receive a previous grant, you can claim up to RM4,000 towards your KedaiDigital quotation. If you DID receive one, you can still claim RM1,200 for the e-invoicing module only.</w:t>
      </w:r>
    </w:p>
    <w:p>
      <w:pPr>
        <w:spacing w:before="200" w:after="60"/>
      </w:pPr>
      <w:r>
        <w:rPr>
          <w:b/>
          <w:color w:val="1F497D"/>
          <w:sz w:val="24"/>
        </w:rPr>
        <w:t>2. If no previous grant: apply for Geran Digital PMKS MADANI online</w:t>
      </w:r>
    </w:p>
    <w:p>
      <w:pPr>
        <w:spacing w:after="40"/>
        <w:ind w:left="432"/>
      </w:pPr>
      <w:r>
        <w:rPr>
          <w:sz w:val="20"/>
        </w:rPr>
        <w:t>Apply online at Funding Society with the KedaiDigital quotation (QT-2026-0917) you already have. The vendor can assist with the application. Approval takes up to 3 working days. After approval, pay the balance (invoice minus grant) within 14 days.</w:t>
      </w:r>
    </w:p>
    <w:p>
      <w:pPr>
        <w:spacing w:after="40"/>
        <w:ind w:left="432"/>
      </w:pPr>
      <w:r>
        <w:rPr>
          <w:i/>
          <w:color w:val="006000"/>
          <w:sz w:val="20"/>
        </w:rPr>
        <w:t>Apply here: https://fundingsocieties.com.my/msme-digital-grant-madani#application-form</w:t>
      </w:r>
    </w:p>
    <w:p>
      <w:pPr>
        <w:spacing w:before="200" w:after="60"/>
      </w:pPr>
      <w:r>
        <w:rPr>
          <w:b/>
          <w:color w:val="1F497D"/>
          <w:sz w:val="24"/>
        </w:rPr>
        <w:t>3. Ask your accountant to claim the e-invoicing tax deduction</w:t>
      </w:r>
    </w:p>
    <w:p>
      <w:pPr>
        <w:spacing w:after="40"/>
        <w:ind w:left="432"/>
      </w:pPr>
      <w:r>
        <w:rPr>
          <w:sz w:val="20"/>
        </w:rPr>
        <w:t>Tell LK Tan &amp; Associates to claim the RM2,400 e-invoicing module cost (from the KedaiDigital quotation) as a tax deduction on your next tax return. This gives you an estimated RM360 in tax savings per year. You will need the paid invoice from KedaiDigital after the module is implemented — the quotation alone is not enough for tax filing.</w:t>
      </w:r>
    </w:p>
    <w:p>
      <w:pPr>
        <w:spacing w:after="40"/>
        <w:ind w:left="432"/>
      </w:pPr>
      <w:r>
        <w:rPr>
          <w:i/>
          <w:color w:val="006000"/>
          <w:sz w:val="20"/>
        </w:rPr>
        <w:t>Estimated savings: RM360/year</w:t>
      </w:r>
    </w:p>
    <w:p>
      <w:pPr>
        <w:spacing w:before="200" w:after="60"/>
      </w:pPr>
      <w:r>
        <w:rPr>
          <w:b/>
          <w:color w:val="1F497D"/>
          <w:sz w:val="24"/>
        </w:rPr>
        <w:t>4. Stamp any new employment contracts after 1 January 2026</w:t>
      </w:r>
    </w:p>
    <w:p>
      <w:pPr>
        <w:spacing w:after="40"/>
        <w:ind w:left="432"/>
      </w:pPr>
      <w:r>
        <w:rPr>
          <w:sz w:val="20"/>
        </w:rPr>
        <w:t>When you hire your 2 new front counter staff in November 2026, make sure their employment contracts are dated on or after 1 January 2026. Submit them for stamping with LHDN — the stamp duty exemption applies automatically for salaries at or below RM3,000/month. You save RM10 per contract.</w:t>
      </w:r>
    </w:p>
    <w:p>
      <w:pPr>
        <w:spacing w:after="40"/>
        <w:ind w:left="432"/>
      </w:pPr>
      <w:r>
        <w:rPr>
          <w:i/>
          <w:color w:val="006000"/>
          <w:sz w:val="20"/>
        </w:rPr>
        <w:t>Estimated savings: RM20 (2 new contracts)</w:t>
      </w:r>
    </w:p>
    <w:p/>
    <w:p>
      <w:r>
        <w:rPr>
          <w:b/>
          <w:color w:val="8B4513"/>
          <w:sz w:val="28"/>
        </w:rPr>
        <w:t>What We Still Need From You</w:t>
      </w:r>
    </w:p>
    <w:p>
      <w:pPr>
        <w:spacing w:before="120" w:after="40"/>
      </w:pPr>
      <w:r>
        <w:rPr>
          <w:b/>
          <w:sz w:val="22"/>
        </w:rPr>
        <w:t xml:space="preserve">Question 1: </w:t>
      </w:r>
      <w:r>
        <w:rPr>
          <w:sz w:val="22"/>
        </w:rPr>
        <w:t>Did the business (or either shareholder) previously receive any digitalisation matching grant, including during COVID? Please check with your accountant or husband. This affects how much grant money you can get (RM4,000 vs RM1,200).</w:t>
      </w:r>
    </w:p>
    <w:p>
      <w:pPr>
        <w:spacing w:before="120" w:after="40"/>
      </w:pPr>
      <w:r>
        <w:rPr>
          <w:b/>
          <w:sz w:val="22"/>
        </w:rPr>
        <w:t xml:space="preserve">Question 2: </w:t>
      </w:r>
      <w:r>
        <w:rPr>
          <w:sz w:val="22"/>
        </w:rPr>
        <w:t>Does the bakery hold a Halal certificate (from JAKIM or a recognised body)? This would help you qualify for a government financing guarantee for your planned deck oven purchase.</w:t>
      </w:r>
    </w:p>
    <w:p>
      <w:pPr>
        <w:spacing w:before="120" w:after="40"/>
      </w:pPr>
      <w:r>
        <w:rPr>
          <w:b/>
          <w:sz w:val="22"/>
        </w:rPr>
        <w:t xml:space="preserve">Question 3: </w:t>
      </w:r>
      <w:r>
        <w:rPr>
          <w:sz w:val="22"/>
        </w:rPr>
        <w:t>Are either of the two shareholders (Nur Lina or Ahmad Faiz) of Bumiputera status? This would also help qualify for the financing guarantee. Please provide IC copies directly to the bank when applying — do not send by email.</w:t>
      </w:r>
    </w:p>
    <w:p/>
    <w:p>
      <w:r>
        <w:rPr>
          <w:b/>
          <w:color w:val="8B4513"/>
          <w:sz w:val="28"/>
        </w:rPr>
        <w:t>Coming Soon (Not Yet in Force)</w:t>
      </w:r>
    </w:p>
    <w:p>
      <w:pPr>
        <w:spacing w:after="80"/>
      </w:pPr>
      <w:r>
        <w:rPr>
          <w:b/>
          <w:sz w:val="22"/>
        </w:rPr>
        <w:t xml:space="preserve">⏳ Budget 2027 MSME tax cut — </w:t>
      </w:r>
      <w:r>
        <w:rPr>
          <w:sz w:val="22"/>
        </w:rPr>
        <w:t>From October 2027 onwards, your SME tax rate will drop by 1 percentage point. This is expected to save you approximately RM935 per year. This happens automatically when you file your tax return — no action needed from you. This was announced in Budget 2027 on 9 October 2026 and is not yet in force.</w:t>
      </w:r>
    </w:p>
    <w:p/>
    <w:p>
      <w:pPr>
        <w:spacing w:before="240"/>
      </w:pPr>
      <w:r>
        <w:rPr>
          <w:b/>
          <w:i/>
          <w:color w:val="CC0000"/>
          <w:sz w:val="24"/>
        </w:rPr>
        <w:t>Nothing has been submitted. This is research only.</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