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40"/>
        </w:rPr>
        <w:t>Lina's Bakery Sdn. Bhd.</w:t>
      </w:r>
    </w:p>
    <w:p>
      <w:pPr>
        <w:jc w:val="center"/>
      </w:pPr>
      <w:r>
        <w:rPr>
          <w:i/>
          <w:sz w:val="22"/>
        </w:rPr>
        <w:t>Bakery and catering business in Petaling Jaya, Selangor</w:t>
      </w:r>
    </w:p>
    <w:p/>
    <w:p>
      <w:r>
        <w:rPr>
          <w:b/>
          <w:color w:val="8B4513"/>
          <w:sz w:val="28"/>
        </w:rPr>
        <w:t>Your Benefits at a Glance</w:t>
      </w:r>
    </w:p>
    <w:p>
      <w:r>
        <w:rPr>
          <w:b/>
          <w:sz w:val="24"/>
        </w:rPr>
        <w:t xml:space="preserve">Total estimated yearly benefit: </w:t>
      </w:r>
      <w:r>
        <w:rPr>
          <w:b/>
          <w:color w:val="008000"/>
          <w:sz w:val="24"/>
        </w:rPr>
        <w:t>RM8,795 per year</w:t>
      </w:r>
    </w:p>
    <w:p>
      <w:r>
        <w:rPr>
          <w:b/>
          <w:sz w:val="24"/>
        </w:rPr>
        <w:t xml:space="preserve">Potential one-time grant: </w:t>
      </w:r>
      <w:r>
        <w:rPr>
          <w:b/>
          <w:color w:val="008000"/>
          <w:sz w:val="24"/>
        </w:rPr>
        <w:t>Up to RM4,000 (Geran Digital PMKS MADANI)</w:t>
      </w:r>
    </w:p>
    <w:p>
      <w:r>
        <w:rPr>
          <w:b/>
          <w:sz w:val="24"/>
        </w:rPr>
        <w:t xml:space="preserve">Coming soon (not in totals): </w:t>
      </w:r>
      <w:r>
        <w:rPr>
          <w:color w:val="CC8800"/>
          <w:sz w:val="24"/>
        </w:rPr>
        <w:t>Budget 2027 tax cut (~RM935/year extra from Year of Assessment 2027)</w:t>
      </w:r>
    </w:p>
    <w:p/>
    <w:p>
      <w:r>
        <w:rPr>
          <w:b/>
          <w:color w:val="8B4513"/>
          <w:sz w:val="28"/>
        </w:rPr>
        <w:t>Measures Evaluated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D9E2F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168"/>
            <w:shd w:fill="D9E2F3"/>
          </w:tcPr>
          <w:p>
            <w:r>
              <w:rPr>
                <w:b/>
                <w:sz w:val="20"/>
              </w:rPr>
              <w:t>Measure</w:t>
            </w:r>
          </w:p>
        </w:tc>
        <w:tc>
          <w:tcPr>
            <w:tcW w:type="dxa" w:w="3600"/>
            <w:shd w:fill="D9E2F3"/>
          </w:tcPr>
          <w:p>
            <w:r>
              <w:rPr>
                <w:b/>
                <w:sz w:val="20"/>
              </w:rPr>
              <w:t>Benefit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Apply Here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Geran Digital PMKS MADANI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Up to RM4,000 (one-time grant)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https://fundingsocieties.com.my/msme-digital-grant-madani#application-form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Geran Digital Penjaja MADANI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 eligible (for street vendors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SME income tax rates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RM8,415/year (tax savings)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https://www.hasil.gov.my/en/syarikat/kadar-cukai-syarikat/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E-invoicing special deduction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RM360/year (tax deduction)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Stamp duty exemption on employment contracts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RM20 (stamp duty saved)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GGSM4 financing guarantee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80% government guarantee on loans (not a cash grant)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https://rakyathub.my/cara-mohon-sjpp-jaminan-pembiayaan-2026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Budget 2027 MSME tax cut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~RM935/year from 2027 (coming soon)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Budget 2027 minimum wage rise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Exempt (good news - no wage increase needed)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160"/>
      </w:pPr>
      <w:r>
        <w:rPr>
          <w:b/>
          <w:i/>
          <w:color w:val="CC0000"/>
          <w:sz w:val="22"/>
        </w:rPr>
        <w:t>Note: Nothing has been submitted. This is research only.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