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Lina's Bakery — Summary</w:t>
      </w:r>
    </w:p>
    <w:p>
      <w:pPr>
        <w:jc w:val="center"/>
      </w:pPr>
      <w:r>
        <w:rPr>
          <w:color w:val="666666"/>
          <w:sz w:val="20"/>
        </w:rPr>
        <w:t>11 October 2026</w:t>
      </w:r>
    </w:p>
    <w:p/>
    <w:p>
      <w:r>
        <w:t>Dear Nur Lina,</w:t>
        <w:br/>
        <w:br/>
      </w:r>
      <w:r>
        <w:t>Thank you for your reply! Good news — since you confirmed that the COVID aid was for your old home baking business and not a digital grant, the full RM4,000 digital grant applies to your bakery.</w:t>
        <w:br/>
        <w:br/>
      </w:r>
      <w:r>
        <w:t>Your bakery could save approximately RM8,415 per year in tax through the SME tiered tax rate. Combined with an e-invoicing deduction, your total immediate annual benefit is about RM8,775 to RM9,615.</w:t>
        <w:br/>
        <w:br/>
      </w:r>
      <w:r>
        <w:t>Urgent: your KedaiDigital quotation expires on 18 October — please act this week.</w:t>
        <w:br/>
        <w:br/>
      </w:r>
      <w:r>
        <w:t>Three questions are still unanswered: (1) is KedaiDigital on the government's appointed provider list, (2) does your bakery have a Halal certificate, and (3) do your existing staff have written employment contracts?</w:t>
        <w:br/>
        <w:br/>
      </w:r>
      <w:r>
        <w:t>Good news: as a small business, you are exempt from the 2027 minimum wage increase — no forced salary raises.</w:t>
        <w:br/>
        <w:br/>
      </w:r>
      <w:r>
        <w:t>No applications have been submitted. Please confirm all tax figures with your accountant.</w:t>
        <w:br/>
        <w:br/>
      </w:r>
      <w:r>
        <w:t>Thank you,</w:t>
        <w:br/>
        <w:t>The Peluang Team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