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b w:val="on"/>
        </w:rPr>
        <w:t>Register Number:  [  ] [  ] [  ] [  ] [  ] [  ] [  ] [  ] [  ] [  ] [  ] [  ]</w:t>
      </w:r>
    </w:p>
    <w:p>
      <w:pPr>
        <w:jc w:val="right"/>
      </w:pPr>
      <w:r>
        <w:rPr>
          <w:b w:val="on"/>
        </w:rPr>
        <w:t>Question Paper Code: _____________________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  <w:color w:val="000000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  <w:color w:val="000000"/>
        </w:rPr>
        <w:t>(An Autonomous Institution)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B.E / B.Tech Degree Examinations – November/December 2025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V, VI, VII, VIII Semester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IT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CCS356 – Object Oriented Software Engineering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(Regulations 2021)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8B0000"/>
        </w:rPr>
        <w:t>Common to CSE &amp; IT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0"/>
          <w:color w:val="8B0000"/>
        </w:rPr>
        <w:t>(Any requirements like Graphs, Charts, Tables, Data books, etc.) if applicable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A – (10 X 2 = 20 Marks)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Q. No.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Question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BTL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CO#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K1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</w:tbl>
    <w:p/>
    <w:p>
      <w:pPr>
        <w:pageBreakBefore w:val="on"/>
      </w:pP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B (5 × 13 = 65 Marks)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Q. No.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Answer All Questions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Marks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BTL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CO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CO1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CO2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CO2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CO3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CO3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CO4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CO4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(13)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K2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</w:tbl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PART C (1 × 15 = 15 Marks)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Q. No.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Question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Marks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BTL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CO</w:t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0.</w:t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(a)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(15)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K4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  <w:tr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</w:rPr>
              <w:t>(Or)</w:t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00" w:after="10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</w:tr>
      <w:tr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/>
            </w:r>
          </w:p>
        </w:tc>
        <w:tc>
          <w:p>
            <w:pPr>
              <w:spacing w:before="150" w:after="150"/>
              <w:jc w:val="left"/>
            </w:pPr>
            <w:r>
              <w:rPr>
                <w:b w:val="off"/>
                <w:rFonts w:ascii="Times New Roman" w:hAnsi="Times New Roman" w:cs="Times New Roman" w:eastAsia="Times New Roman"/>
              </w:rPr>
              <w:t xml:space="preserve">(b) 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(15)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K4</w:t>
            </w:r>
          </w:p>
        </w:tc>
        <w:tc>
          <w:p>
            <w:pPr>
              <w:spacing w:before="150" w:after="150"/>
              <w:jc w:val="center"/>
            </w:pPr>
            <w:r>
              <w:rPr>
                <w:b w:val="off"/>
                <w:rFonts w:ascii="Times New Roman" w:hAnsi="Times New Roman" w:cs="Times New Roman" w:eastAsia="Times New Roman"/>
              </w:rPr>
              <w:t>CO5</w:t>
            </w:r>
          </w:p>
        </w:tc>
      </w:tr>
    </w:tbl>
    <w:p>
      <w:pPr>
        <w:pageBreakBefore w:val="on"/>
      </w:pPr>
    </w:p>
    <w:p>
      <w:r>
        <w:rPr>
          <w:b w:val="on"/>
          <w:rFonts w:ascii="Times New Roman" w:hAnsi="Times New Roman" w:cs="Times New Roman" w:eastAsia="Times New Roman"/>
        </w:rPr>
        <w:t>Note: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A maximum of two questions can have two subdivisions.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Questions from same unit and same blooms taxonomy Knowledge level to be maintained in either / or questions with same mark weightage even if the questions have sub divisions.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Compulsory Question can be derived from any of the Unit.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#	{Maximum two sub divisions in (Part B &amp; Part C) question if necessary; Part B - Marks split up for may be 13 / 7 + 6 / 6+7 &amp; Part C - Marks split up for may be 15 / 8 + 7 / 7+8 }</w:t>
      </w:r>
    </w:p>
    <w:p/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  <w:color w:val="000000"/>
        </w:rPr>
        <w:t>*****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555555"/>
        <w:rFonts w:ascii="Times New Roman" w:hAnsi="Times New Roman" w:cs="Times New Roman" w:eastAsia="Times New Roman"/>
      </w:rPr>
      <w:t>Knowledge Level: K1 – Remember; K2 – Understand; K3 – Apply; K4 – Analyze; K5 – Evaluate; K6 – Create</w:t>
    </w:r>
  </w:p>
  <w:p>
    <w:pPr>
      <w:jc w:val="right"/>
    </w:pPr>
    <w:r>
      <w:rPr>
        <w:sz w:val="20"/>
        <w:color w:val="555555"/>
      </w:rPr>
      <w:t xml:space="preserve">Page </w:t>
    </w:r>
    <w:fldSimple w:instr="PAGE"/>
    <w:r>
      <w:rPr>
        <w:sz w:val="20"/>
        <w:color w:val="555555"/>
      </w:rPr>
      <w:t xml:space="preserve"> of </w:t>
    </w:r>
    <w:fldSimple w:instr="NUMPAGES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2026-03-23T03:35:00Z</dcterms:created>
  <dc:creator>Apache POI</dc:creator>
</cp:coreProperties>
</file>