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rPr>
          <w:b w:val="on"/>
        </w:rPr>
        <w:t>Register Number:  [  ] [  ] [  ] [  ] [  ] [  ] [  ] [  ] [  ] [  ] [  ] [  ]</w:t>
      </w:r>
    </w:p>
    <w:p>
      <w:pPr>
        <w:jc w:val="right"/>
      </w:pPr>
      <w:r>
        <w:rPr>
          <w:b w:val="on"/>
        </w:rPr>
        <w:t>Question Paper Code: _____________________</w:t>
      </w:r>
    </w:p>
    <w:p/>
    <w:p>
      <w:pPr>
        <w:jc w:val="center"/>
      </w:pPr>
      <w:r>
        <w:rPr>
          <w:b w:val="on"/>
          <w:rFonts w:ascii="Times New Roman" w:hAnsi="Times New Roman" w:cs="Times New Roman" w:eastAsia="Times New Roman"/>
          <w:sz w:val="32"/>
          <w:color w:val="000000"/>
        </w:rPr>
        <w:t>St. Peter’s College of Engineering and Technology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8"/>
          <w:color w:val="000000"/>
        </w:rPr>
        <w:t>(An Autonomous Institution)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B.E / B.Tech Degree Examinations – November/December 2025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V, VI, VII, VIII Semester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IT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CCS356 – Object Oriented Software Engineering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(Regulations 2021)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Common to CSE &amp; IT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0"/>
          <w:color w:val="8B0000"/>
        </w:rPr>
        <w:t>(Any requirements like Graphs, Charts, Tables, Data books, etc.) if applicable</w:t>
      </w:r>
    </w:p>
    <w:p/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000000"/>
        </w:rPr>
        <w:t>Part A – (10 X 2 = 20 Marks)</w:t>
      </w:r>
    </w:p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r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Q. No.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Question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BTL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CO#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</w:tbl>
    <w:p/>
    <w:p>
      <w:pPr>
        <w:pageBreakBefore w:val="on"/>
      </w:pP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000000"/>
        </w:rPr>
        <w:t>PART B (5 × 13 = 65 Marks)</w:t>
      </w:r>
    </w:p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r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Q. No.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Answer All Questions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Marks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BTL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CO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(a)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(Or)</w:t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(b)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(a)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CO2</w:t>
            </w:r>
          </w:p>
        </w:tc>
      </w:tr>
      <w:tr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(Or)</w:t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(b)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CO2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(a)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CO3</w:t>
            </w:r>
          </w:p>
        </w:tc>
      </w:tr>
      <w:tr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(Or)</w:t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(b)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CO3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(a)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CO4</w:t>
            </w:r>
          </w:p>
        </w:tc>
      </w:tr>
      <w:tr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(Or)</w:t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(b)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CO4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(a)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CO5</w:t>
            </w:r>
          </w:p>
        </w:tc>
      </w:tr>
      <w:tr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(Or)</w:t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(b)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CO5</w:t>
            </w:r>
          </w:p>
        </w:tc>
      </w:tr>
    </w:tbl>
    <w:p/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000000"/>
        </w:rPr>
        <w:t>PART C (1 × 15 = 15 Marks)</w:t>
      </w:r>
    </w:p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r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Q. No.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Question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Marks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BTL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CO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(a)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(15)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K4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CO5</w:t>
            </w:r>
          </w:p>
        </w:tc>
      </w:tr>
      <w:tr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(Or)</w:t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(b)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(15)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K4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CO5</w:t>
            </w:r>
          </w:p>
        </w:tc>
      </w:tr>
    </w:tbl>
    <w:p>
      <w:pPr>
        <w:pageBreakBefore w:val="on"/>
      </w:pPr>
    </w:p>
    <w:p>
      <w:r>
        <w:rPr>
          <w:b w:val="on"/>
          <w:rFonts w:ascii="Times New Roman" w:hAnsi="Times New Roman" w:cs="Times New Roman" w:eastAsia="Times New Roman"/>
        </w:rPr>
        <w:t>Note: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#	A maximum of two questions can have two subdivisions.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#	Questions from same unit and same blooms taxonomy Knowledge level to be maintained in either / or questions with same mark weightage even if the questions have sub divisions.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#	Compulsory Question can be derived from any of the Unit.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#	{Maximum two sub divisions in (Part B &amp; Part C) question if necessary; Part B - Marks split up for may be 13 / 7 + 6 / 6+7 &amp; Part C - Marks split up for may be 15 / 8 + 7 / 7+8 }</w:t>
      </w:r>
    </w:p>
    <w:p/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000000"/>
        </w:rPr>
        <w:t>*****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555555"/>
        <w:rFonts w:ascii="Times New Roman" w:hAnsi="Times New Roman" w:cs="Times New Roman" w:eastAsia="Times New Roman"/>
      </w:rPr>
      <w:t>Knowledge Level: K1 – Remember; K2 – Understand; K3 – Apply; K4 – Analyze; K5 – Evaluate; K6 – Create</w:t>
    </w:r>
  </w:p>
  <w:p>
    <w:pPr>
      <w:jc w:val="right"/>
    </w:pPr>
    <w:r>
      <w:rPr>
        <w:sz w:val="20"/>
        <w:color w:val="555555"/>
      </w:rPr>
      <w:t xml:space="preserve">Page </w:t>
    </w:r>
    <w:fldSimple w:instr="PAGE"/>
    <w:r>
      <w:rPr>
        <w:sz w:val="20"/>
        <w:color w:val="555555"/>
      </w:rPr>
      <w:t xml:space="preserve"> of </w:t>
    </w:r>
    <w:fldSimple w:instr="NUMPAGES"/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2026-03-23T06:44:07Z</dcterms:created>
  <dc:creator>Apache POI</dc:creator>
</cp:coreProperties>
</file>