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MCP Academic Assistant Phase Two</w:t>
      </w:r>
    </w:p>
    <w:p>
      <w:pPr>
        <w:pStyle w:val="Subtitle"/>
      </w:pPr>
      <w:r>
        <w:t>English presentation script</w:t>
      </w:r>
    </w:p>
    <w:p>
      <w:r>
        <w:t>Use this script with the 31 slide presentation. Each section gives the words to say for that slide. Read slowly, pause at the tables and point to the values that you explain.</w:t>
      </w:r>
    </w:p>
    <w:p>
      <w:pPr>
        <w:pStyle w:val="Heading2"/>
      </w:pPr>
      <w:r>
        <w:t>Slide 1 MCP Academic Assistant Phase Two</w:t>
      </w:r>
    </w:p>
    <w:p>
      <w:r>
        <w:t>Good morning everyone. Today we will present Phase Two of our MCP academic assistant. We added more data and new tools for teachers, attendance, conduct and finance. We will explain the test situations, the settings we used and the results. We will also discuss what worked, what needs care and how we can improve the system.</w:t>
      </w:r>
    </w:p>
    <w:p>
      <w:pPr>
        <w:pStyle w:val="Heading2"/>
      </w:pPr>
      <w:r>
        <w:t>Slide 2 What Phase Two must show</w:t>
      </w:r>
    </w:p>
    <w:p>
      <w:r>
        <w:t>Phase Two asks for more than new code. We need useful situations that show what the assistant can do. We also need settings, results, comparisons and comments. A log must support each measured result. Our presentation follows these parts. We use generated sample data, so the people, grades and money values in the examples are for testing.</w:t>
      </w:r>
    </w:p>
    <w:p>
      <w:pPr>
        <w:pStyle w:val="Heading2"/>
      </w:pPr>
      <w:r>
        <w:t>Slide 3 How the assistant works</w:t>
      </w:r>
    </w:p>
    <w:p>
      <w:r>
        <w:t>The user starts with a normal question. The host gives the language model a list of tools. The model chooses a tool and supplies its arguments. The host sends the request to an MCP server. The server reads the data and calculates the result. Finally, the model explains that result. Important calculations stay in code instead of being left to the model.</w:t>
      </w:r>
    </w:p>
    <w:p>
      <w:r>
        <w:br w:type="page"/>
      </w:r>
    </w:p>
    <w:p>
      <w:pPr>
        <w:pStyle w:val="Heading2"/>
      </w:pPr>
      <w:r>
        <w:t>Slide 4 Two active servers and a pending finance feature</w:t>
      </w:r>
    </w:p>
    <w:p>
      <w:r>
        <w:t>The current shared test set uses academic and utility on main. Together they expose twenty tools. Finance is a separate pending feature with seven tools. Its sample data is different, so we keep its questions and examples provisional until it is rebased and merged. The main benchmark does not enable finance.</w:t>
      </w:r>
    </w:p>
    <w:p>
      <w:pPr>
        <w:pStyle w:val="Heading2"/>
      </w:pPr>
      <w:r>
        <w:t>Slide 5 Data and source versions</w:t>
      </w:r>
    </w:p>
    <w:p>
      <w:r>
        <w:t>The academic sample on main has forty valid students, twenty teachers and forty-one sections. It also has two hundred and sixty-one valid grade rows, attendance records and conduct scores. Finance is still in a separate pull request. Its teacher and conduct records differ. We exclude those financial expectations from the shared test file and label them provisional in the workbook.</w:t>
      </w:r>
    </w:p>
    <w:p>
      <w:pPr>
        <w:pStyle w:val="Heading2"/>
      </w:pPr>
      <w:r>
        <w:t>Slide 6 The data loader checks bad rows</w:t>
      </w:r>
    </w:p>
    <w:p>
      <w:r>
        <w:t>A CSV file can contain a row that looks correct but refers to an unknown student or course. The data loader checks these links. It also checks duplicate IDs, missing scores and scores outside the valid range. For a grade, the course, semester and student’s class must match a section. Invalid rows are reported and excluded from academic calculations.</w:t>
      </w:r>
    </w:p>
    <w:p>
      <w:r>
        <w:br w:type="page"/>
      </w:r>
    </w:p>
    <w:p>
      <w:pPr>
        <w:pStyle w:val="Heading2"/>
      </w:pPr>
      <w:r>
        <w:t>Slide 7 Teacher search and class timetable</w:t>
      </w:r>
    </w:p>
    <w:p>
      <w:r>
        <w:t>Phu’s first tools help us find teachers and class schedules. We can search by a teacher ID or use faculty and title filters. A timetable question needs both the class and semester. In our sample, class IT zero one has three sections in semester twenty twenty-four dash one. If the class does not exist, the tool returns an error instead of inventing a schedule.</w:t>
      </w:r>
    </w:p>
    <w:p>
      <w:pPr>
        <w:pStyle w:val="Heading2"/>
      </w:pPr>
      <w:r>
        <w:t>Slide 8 Teacher workload and grade report</w:t>
      </w:r>
    </w:p>
    <w:p>
      <w:r>
        <w:t>The workload tool reports both sections and weekly teaching periods. T zero zero one has three sections with three periods each, so the total is nine periods per week. A future semester with no assignments returns zero. The grade report counts graded enrolments across sections. It reports thirty enrolments, a mean score of seven point four and a pass rate of ninety percent.</w:t>
      </w:r>
    </w:p>
    <w:p>
      <w:pPr>
        <w:pStyle w:val="Heading2"/>
      </w:pPr>
      <w:r>
        <w:t>Slide 9 Attendance at the exact boundary</w:t>
      </w:r>
    </w:p>
    <w:p>
      <w:r>
        <w:t>Hoang’s attendance rule uses a strict greater-than comparison. Three absences out of fifteen meetings equal twenty percent. That does not cross the limit. Four absences give about twenty-six point seven percent, so the student is banned from the exam in that section. These cases are useful because a small change from greater than to greater than or equal would change the first answer.</w:t>
      </w:r>
    </w:p>
    <w:p>
      <w:r>
        <w:br w:type="page"/>
      </w:r>
    </w:p>
    <w:p>
      <w:pPr>
        <w:pStyle w:val="Heading2"/>
      </w:pPr>
      <w:r>
        <w:t>Slide 10 Conduct scores use a rule table</w:t>
      </w:r>
    </w:p>
    <w:p>
      <w:r>
        <w:t>Conduct scores use a scale from zero to one hundred. The classification bands are stored in a configuration file. A score of ninety is Excellent, and a score of fifty is Average. The model should report the tool’s classification. It should not create a new grading scale. We tested both a high score and an exact band boundary.</w:t>
      </w:r>
    </w:p>
    <w:p>
      <w:pPr>
        <w:pStyle w:val="Heading2"/>
      </w:pPr>
      <w:r>
        <w:t>Slide 11 The risk tool explains each warning</w:t>
      </w:r>
    </w:p>
    <w:p>
      <w:r>
        <w:t>The current implementation flags a student when any configured risk condition applies. A student does not need to fail all three checks. In semester twenty twenty-four dash one, two of ten students in IT zero one are flagged. Four of twenty students in Business Administration are flagged. A useful answer must also include the actual reasons, not only the total count.</w:t>
      </w:r>
    </w:p>
    <w:p>
      <w:pPr>
        <w:pStyle w:val="Heading2"/>
      </w:pPr>
      <w:r>
        <w:t>Slide 12 An advising meeting combines several tools</w:t>
      </w:r>
    </w:p>
    <w:p>
      <w:r>
        <w:t>An advising meeting needs more than GPA. The assistant should combine the transcript, attendance and conduct for the same student and semester. Our question asks for these parts together. The advisor meeting prompt helps prepare that context. When we review the final answer, we should check that it keeps important exam restrictions and gives advice that follows from the records.</w:t>
      </w:r>
    </w:p>
    <w:p>
      <w:r>
        <w:br w:type="page"/>
      </w:r>
    </w:p>
    <w:p>
      <w:pPr>
        <w:pStyle w:val="Heading2"/>
      </w:pPr>
      <w:r>
        <w:t>Slide 13 Provisional tuition example from finance PR2</w:t>
      </w:r>
    </w:p>
    <w:p>
      <w:r>
        <w:t>This is a provisional tuition example from the finance pull request. The server calculates the amount due, the amount paid and the remaining balance. A balance is the amount due minus the amount paid. These figures were measured on the older finance snapshot. We keep them for explaining the feature, but we must recalculate them after finance uses the shared data on main.</w:t>
      </w:r>
    </w:p>
    <w:p>
      <w:pPr>
        <w:pStyle w:val="Heading2"/>
      </w:pPr>
      <w:r>
        <w:t>Slide 14 Scholarship rules in the pending finance feature</w:t>
      </w:r>
    </w:p>
    <w:p>
      <w:r>
        <w:t>The pending finance feature checks several conditions for a scholarship. A high GPA alone is not enough. The code also checks conduct, paid tuition and owed courses. We can explain these rules now. However, the financial test expectations remain provisional until the feature uses the same student and conduct data as main.</w:t>
      </w:r>
    </w:p>
    <w:p>
      <w:pPr>
        <w:pStyle w:val="Heading2"/>
      </w:pPr>
      <w:r>
        <w:t>Slide 15 Provisional scholarship ranking from finance PR2</w:t>
      </w:r>
    </w:p>
    <w:p>
      <w:r>
        <w:t>This ranking is an example from the older finance snapshot. Nine candidates qualify and student two two zero one zero one six ranks first. Those numbers are provisional. They do not describe the current shared dataset. After finance is rebased and merged, we will recalculate the candidate list from the common CSV files before restoring this test to the benchmark.</w:t>
      </w:r>
    </w:p>
    <w:p>
      <w:r>
        <w:br w:type="page"/>
      </w:r>
    </w:p>
    <w:p>
      <w:pPr>
        <w:pStyle w:val="Heading2"/>
      </w:pPr>
      <w:r>
        <w:t>Slide 16 Provisional teacher pay calculation</w:t>
      </w:r>
    </w:p>
    <w:p>
      <w:r>
        <w:t>The pending payroll feature uses assigned sections and a payroll row. It converts weekly teaching periods to monthly periods, selects the rate by teacher title, adds teaching pay and bonuses, then subtracts deductions. Teacher T zero zero one in the old finance snapshot is a different record from T zero zero one on main. We therefore keep this payroll example separate and provisional. All payroll data is fictional.</w:t>
      </w:r>
    </w:p>
    <w:p>
      <w:pPr>
        <w:pStyle w:val="Heading2"/>
      </w:pPr>
      <w:r>
        <w:t>Slide 17 Access and confirmation in the finance feature</w:t>
      </w:r>
    </w:p>
    <w:p>
      <w:r>
        <w:t>Finance also introduces an access boundary. Without finance tools, the assistant should explain that it cannot answer a money question. It must not guess. Tien’s tests show that scholarship questions still need care, because a model can answer from GPA alone when the correct tool is missing. A payroll approval is different from reading a salary: it must ask for confirmation before changing state.</w:t>
      </w:r>
    </w:p>
    <w:p>
      <w:pPr>
        <w:pStyle w:val="Heading2"/>
      </w:pPr>
      <w:r>
        <w:t>Slide 18 Shared test cases and provisional finance cases</w:t>
      </w:r>
    </w:p>
    <w:p>
      <w:r>
        <w:t>The shared test file now contains fifteen natural English questions, all using main. It covers teacher tools, attendance, conduct, risk and advising. The nine finance questions are in a separate provisional file. The workbook contains twenty-nine source-linked metrics for the shared cases and twenty-six provisional finance metrics. Only the fifteen shared cases should be copied into the current team benchmark.</w:t>
      </w:r>
    </w:p>
    <w:p>
      <w:r>
        <w:br w:type="page"/>
      </w:r>
    </w:p>
    <w:p>
      <w:pPr>
        <w:pStyle w:val="Heading2"/>
      </w:pPr>
      <w:r>
        <w:t>Slide 19 How to check an answer in Excel</w:t>
      </w:r>
    </w:p>
    <w:p>
      <w:r>
        <w:t>First, check the scope column in the workbook. Main rows belong to the shared benchmark. Provisional rows belong to the pending finance snapshot. Next, read the arithmetic on the Manual sheet and follow the source-linked formulas on Answers. We checked the exact absence boundary and the risk reasons against the raw CSV files. Finally, compare the result and its explanation with the log.</w:t>
      </w:r>
    </w:p>
    <w:p>
      <w:pPr>
        <w:pStyle w:val="Heading2"/>
      </w:pPr>
      <w:r>
        <w:t>Slide 20 Settings used in Khoa tests</w:t>
      </w:r>
    </w:p>
    <w:p>
      <w:r>
        <w:t>The current main-only Gemini run uses Flash Lite with temperature zero point two and a maximum of eight tool rounds. Each question starts a fresh conversation. Fallback is disabled. The configuration enables academic and utility only. The committed runner reads the fifteen questions directly from the shared CSV and records the configuration and source hashes.</w:t>
      </w:r>
    </w:p>
    <w:p>
      <w:pPr>
        <w:pStyle w:val="Heading2"/>
      </w:pPr>
      <w:r>
        <w:t>Slide 21 New results on the shared main dataset</w:t>
      </w:r>
    </w:p>
    <w:p>
      <w:r>
        <w:t>These new runs use only the fifteen shared cases on main. We ran the committed script through direct MCP over standard input and output, direct MCP over HTTP, and Gemini. The table shows the measured results from those logs. The earlier twenty-four-case run is saved separately as historical evidence because it mixed two snapshots. It is not the shared benchmark result.</w:t>
      </w:r>
    </w:p>
    <w:p>
      <w:r>
        <w:br w:type="page"/>
      </w:r>
    </w:p>
    <w:p>
      <w:pPr>
        <w:pStyle w:val="Heading2"/>
      </w:pPr>
      <w:r>
        <w:t>Slide 22 Timing and token measurements</w:t>
      </w:r>
    </w:p>
    <w:p>
      <w:r>
        <w:t>These times and token totals come from the new main-only run. Direct MCP time measures the local tool path. Gemini time also includes model requests and any retries inside a question. The pacing gap between questions is outside the per-question measurement. One run is a small sample, so we report these observations without claiming that one transport is always faster.</w:t>
      </w:r>
    </w:p>
    <w:p>
      <w:pPr>
        <w:pStyle w:val="Heading2"/>
      </w:pPr>
      <w:r>
        <w:t>Slide 23 Hoang compared the tool round limit</w:t>
      </w:r>
    </w:p>
    <w:p>
      <w:r>
        <w:t>Hoang’s separate experiment uses maximum tool-round settings of two, four and eight. The report workflow completed in two rounds in each of those runs. This means that two rounds were enough for that tested workflow. It does not mean two rounds are enough for every question. More rounds can leave room for correcting an invalid call or completing a longer chain.</w:t>
      </w:r>
    </w:p>
    <w:p>
      <w:pPr>
        <w:pStyle w:val="Heading2"/>
      </w:pPr>
      <w:r>
        <w:t>Slide 24 Hoang compared temperature settings</w:t>
      </w:r>
    </w:p>
    <w:p>
      <w:r>
        <w:t>Hoang also ran six questions at each of three temperatures. The output-token totals come from his raw logs. Temperature zero point two used fewer output tokens in these runs than zero or one. The answers still need to be checked for content. This small experiment supports a concise default for the demo, but it does not prove that one temperature is best for every task.</w:t>
      </w:r>
    </w:p>
    <w:p>
      <w:r>
        <w:br w:type="page"/>
      </w:r>
    </w:p>
    <w:p>
      <w:pPr>
        <w:pStyle w:val="Heading2"/>
      </w:pPr>
      <w:r>
        <w:t>Slide 25 Tool descriptions need a real comparison</w:t>
      </w:r>
    </w:p>
    <w:p>
      <w:r>
        <w:t>Tool descriptions can affect both tool choice and prompt size. A clear description tells the model when to use the tool and what each parameter means. A shorter description may save space. However, changing the host’s system prompt is not the same as shortening the registered tool schemas. The current report marks the genuine terse-schema comparison as not measured, so we do not invent an accuracy difference.</w:t>
      </w:r>
    </w:p>
    <w:p>
      <w:pPr>
        <w:pStyle w:val="Heading2"/>
      </w:pPr>
      <w:r>
        <w:t>Slide 26 Earlier model comparison gives context</w:t>
      </w:r>
    </w:p>
    <w:p>
      <w:r>
        <w:t>The earlier model comparison used eleven cases, with two runs per model, on another machine. All three measured models passed those turns. The instruct model was faster than the thinking model in that test. These are historical results. They are separate from the new fifteen-case Gemini run on main and do not provide a new direct Qwen comparison on this machine.</w:t>
      </w:r>
    </w:p>
    <w:p>
      <w:pPr>
        <w:pStyle w:val="Heading2"/>
      </w:pPr>
      <w:r>
        <w:t>Slide 27 Context budget depends on the enabled tools</w:t>
      </w:r>
    </w:p>
    <w:p>
      <w:r>
        <w:t>The current academic and utility configuration exposes twenty tools. The historical configuration with provisional finance exposed twenty-seven. Tien also measured an earlier tool set on Qwen, using about two thousand nine hundred and eighty-one prompt tokens in an eight-thousand-one-hundred-and-ninety-two-token context. A matching tool count does not prove a matching token budget. We should measure the actual final tool schemas after finance merges.</w:t>
      </w:r>
    </w:p>
    <w:p>
      <w:r>
        <w:br w:type="page"/>
      </w:r>
    </w:p>
    <w:p>
      <w:pPr>
        <w:pStyle w:val="Heading2"/>
      </w:pPr>
      <w:r>
        <w:t>Slide 28 Improvements follow observed problems</w:t>
      </w:r>
    </w:p>
    <w:p>
      <w:r>
        <w:t>Several improvements follow observed problems. A grade update keeps omitted scores unchanged. The host follows the language of the question. Benchmarks disable fallback. In the new Khoa run, we clarified that a risk result reports the maximum section absence rate, while the attendance summary reports the aggregate rate for its scope. The earlier wording mistake and the corrected answer are kept in separate logs for comparison.</w:t>
      </w:r>
    </w:p>
    <w:p>
      <w:pPr>
        <w:pStyle w:val="Heading2"/>
      </w:pPr>
      <w:r>
        <w:t>Slide 29 Limits and the next useful tests</w:t>
      </w:r>
    </w:p>
    <w:p>
      <w:r>
        <w:t>The main limitation is the pending finance integration. We have moved those nine questions out of the shared CSV. After finance is rebased and merged, we must replace the provisional teacher, section and conduct inputs with the shared data, recalculate the financial answers and run the tests again. The historical logs stay unchanged as evidence of what was measured before the review.</w:t>
      </w:r>
    </w:p>
    <w:p>
      <w:pPr>
        <w:pStyle w:val="Heading2"/>
      </w:pPr>
      <w:r>
        <w:t>Slide 30 A short live demonstration</w:t>
      </w:r>
    </w:p>
    <w:p>
      <w:r>
        <w:t>The live demonstration uses the current shared dataset. Start with the workload of teacher T zero zero one. Then compare the two attendance boundary cases. Next, ask for the risk reasons in class IT zero one. Finally, open the current log and show the actual tool call and result. Finance examples can be explained from the slides, but they are provisional and are not part of this live main-only demonstration.</w:t>
      </w:r>
    </w:p>
    <w:p>
      <w:r>
        <w:br w:type="page"/>
      </w:r>
    </w:p>
    <w:p>
      <w:pPr>
        <w:pStyle w:val="Heading2"/>
      </w:pPr>
      <w:r>
        <w:t>Slide 31 Main findings</w:t>
      </w:r>
    </w:p>
    <w:p>
      <w:r>
        <w:t>To finish, Phase Two makes the assistant useful for more university situations. The servers calculate the important values, and the Excel key connects those values to the CSV data. Settings affect response time, output length and the room available for error recovery. The logs let us inspect what really happened. Thank you for listening. We are ready for your questions.</w:t>
      </w:r>
    </w:p>
    <w:p>
      <w:r>
        <w:br w:type="page"/>
      </w:r>
    </w:p>
    <w:p>
      <w:pPr>
        <w:pStyle w:val="Heading1"/>
      </w:pPr>
      <w:r>
        <w:t>Questions and short answers</w:t>
      </w:r>
    </w:p>
    <w:p>
      <w:pPr>
        <w:pStyle w:val="Heading2"/>
      </w:pPr>
      <w:r>
        <w:t>Why do we need MCP</w:t>
      </w:r>
    </w:p>
    <w:p>
      <w:r>
        <w:t>MCP provides a standard way for the host to discover and call tools. We can change the model while keeping the same server interfaces.</w:t>
      </w:r>
    </w:p>
    <w:p>
      <w:pPr>
        <w:pStyle w:val="Heading2"/>
      </w:pPr>
      <w:r>
        <w:t>Does the model calculate GPA or scholarships</w:t>
      </w:r>
    </w:p>
    <w:p>
      <w:r>
        <w:t>The server calculates these values from the data and rule files. The model chooses tools and explains the returned result.</w:t>
      </w:r>
    </w:p>
    <w:p>
      <w:pPr>
        <w:pStyle w:val="Heading2"/>
      </w:pPr>
      <w:r>
        <w:t>Why are there two source snapshots</w:t>
      </w:r>
    </w:p>
    <w:p>
      <w:r>
        <w:t>The shared benchmark uses main only. Finance remains in a separate pending pull request, so its older examples are provisional and excluded from the shared test file.</w:t>
      </w:r>
    </w:p>
    <w:p>
      <w:pPr>
        <w:pStyle w:val="Heading2"/>
      </w:pPr>
      <w:r>
        <w:t>Does twenty percent absence mean an exam ban</w:t>
      </w:r>
    </w:p>
    <w:p>
      <w:r>
        <w:t>No. The current rule bans a student only when the absence ratio is greater than twenty percent in a section.</w:t>
      </w:r>
    </w:p>
    <w:p>
      <w:pPr>
        <w:pStyle w:val="Heading2"/>
      </w:pPr>
      <w:r>
        <w:t>Which model is best</w:t>
      </w:r>
    </w:p>
    <w:p>
      <w:r>
        <w:t>The earlier small benchmark had the same pass result for the measured models. Speed differed. Our new run tests Gemini on this machine, so we cannot make a new direct Qwen comparison.</w:t>
      </w:r>
    </w:p>
    <w:p>
      <w:pPr>
        <w:pStyle w:val="Heading2"/>
      </w:pPr>
      <w:r>
        <w:t>What should the team test next</w:t>
      </w:r>
    </w:p>
    <w:p>
      <w:r>
        <w:t>After merging all features, run the full set again on one final dataset. Repeat the settings and check that the final answers include the right explanations.</w:t>
      </w:r>
    </w:p>
    <w:p>
      <w:r>
        <w:br w:type="page"/>
      </w:r>
    </w:p>
    <w:p>
      <w:pPr>
        <w:pStyle w:val="Heading1"/>
      </w:pPr>
      <w:r>
        <w:t>Evidence sources</w:t>
      </w:r>
    </w:p>
    <w:p>
      <w:r>
        <w:t>Khoa test cases and independent Excel workbook in phase2/runs/khoa</w:t>
      </w:r>
    </w:p>
    <w:p>
      <w:r>
        <w:t>Current 15-case main-only checks in check-stdio.jsonl check-http.jsonl and gemini-stdio.jsonl; older 24-case provisional run under historical/</w:t>
      </w:r>
    </w:p>
    <w:p>
      <w:r>
        <w:t>Academic features and data at main commit 2c4110ab6ff60e84e386ace7f0d158bf0ab4a0e2</w:t>
      </w:r>
    </w:p>
    <w:p>
      <w:r>
        <w:t>Finance code and data at PR 2 commit 530d5da97e12a9ecaece0fd4e7066dec8c888621</w:t>
      </w:r>
    </w:p>
    <w:p>
      <w:r>
        <w:t>Hoang configuration logs in phase2/runs/hoang and mcp-academic/docs/experiments.md</w:t>
      </w:r>
    </w:p>
    <w:p>
      <w:r>
        <w:t>Historical model comparison in mcp-academic/docs/model-comparison.md and model-observations.md</w:t>
      </w:r>
    </w:p>
    <w:p>
      <w:r>
        <w:t>Observed fixes in phase2/improvements.md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Academic Assistant Phase Two Presentation Script</dc:title>
  <dc:subject>Simple English speaking notes for 31 slides</dc:subject>
  <dc:creator>Khoa</dc:creator>
  <cp:keywords/>
  <dc:description>generated by python-docx</dc:description>
  <cp:lastModifiedBy/>
  <cp:revision>1</cp:revision>
  <dcterms:created xsi:type="dcterms:W3CDTF">2013-12-23T23:15:00Z</dcterms:created>
  <dcterms:modified xsi:type="dcterms:W3CDTF">2013-12-23T23:15:00Z</dcterms:modified>
  <cp:category/>
</cp:coreProperties>
</file>